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E53174" w:rsidRPr="00E53174" w14:paraId="3BF48F17" w14:textId="77777777" w:rsidTr="009A785D">
        <w:trPr>
          <w:trHeight w:val="1117"/>
        </w:trPr>
        <w:tc>
          <w:tcPr>
            <w:tcW w:w="3686" w:type="dxa"/>
            <w:shd w:val="clear" w:color="auto" w:fill="auto"/>
          </w:tcPr>
          <w:p w14:paraId="60C7CE84" w14:textId="77777777" w:rsidR="00E53174" w:rsidRPr="00E53174" w:rsidRDefault="00E53174" w:rsidP="00E53174">
            <w:pPr>
              <w:spacing w:line="200" w:lineRule="exact"/>
              <w:jc w:val="left"/>
              <w:rPr>
                <w:rFonts w:ascii="Georgia" w:eastAsia="Georgia" w:hAnsi="Georgia"/>
                <w:noProof/>
                <w:spacing w:val="8"/>
                <w:sz w:val="16"/>
                <w:szCs w:val="16"/>
                <w:lang w:val="es-PE" w:eastAsia="en-US"/>
              </w:rPr>
            </w:pPr>
            <w:r w:rsidRPr="00E53174">
              <w:rPr>
                <w:rFonts w:ascii="Georgia" w:eastAsia="Georgia" w:hAnsi="Georgia"/>
                <w:noProof/>
                <w:spacing w:val="8"/>
                <w:sz w:val="16"/>
                <w:szCs w:val="16"/>
                <w:lang w:val="es-PE" w:eastAsia="en-US"/>
              </w:rPr>
              <w:t>Chubb Seguros Perú S.A</w:t>
            </w:r>
          </w:p>
          <w:p w14:paraId="6C4A7611" w14:textId="77777777" w:rsidR="00E53174" w:rsidRPr="00E53174" w:rsidRDefault="00E53174" w:rsidP="00E53174">
            <w:pPr>
              <w:spacing w:line="200" w:lineRule="exact"/>
              <w:jc w:val="left"/>
              <w:rPr>
                <w:rFonts w:ascii="Georgia" w:eastAsia="Georgia" w:hAnsi="Georgia"/>
                <w:noProof/>
                <w:spacing w:val="8"/>
                <w:sz w:val="16"/>
                <w:szCs w:val="16"/>
                <w:lang w:val="es-PE" w:eastAsia="en-US"/>
              </w:rPr>
            </w:pPr>
            <w:r w:rsidRPr="00E53174">
              <w:rPr>
                <w:rFonts w:ascii="Georgia" w:eastAsia="Georgia" w:hAnsi="Georgia"/>
                <w:noProof/>
                <w:spacing w:val="8"/>
                <w:sz w:val="16"/>
                <w:szCs w:val="16"/>
                <w:lang w:val="es-PE" w:eastAsia="en-US"/>
              </w:rPr>
              <w:t>Calle Amador Merino Reyna 267, Of.402</w:t>
            </w:r>
          </w:p>
          <w:p w14:paraId="7FA05B64" w14:textId="77777777" w:rsidR="00E53174" w:rsidRPr="00E53174" w:rsidRDefault="00E53174" w:rsidP="00E53174">
            <w:pPr>
              <w:spacing w:line="200" w:lineRule="exact"/>
              <w:jc w:val="left"/>
              <w:rPr>
                <w:rFonts w:ascii="Georgia" w:eastAsia="Georgia" w:hAnsi="Georgia"/>
                <w:noProof/>
                <w:spacing w:val="8"/>
                <w:sz w:val="16"/>
                <w:szCs w:val="16"/>
                <w:lang w:val="de-CH" w:eastAsia="en-US"/>
              </w:rPr>
            </w:pPr>
            <w:r w:rsidRPr="00E53174">
              <w:rPr>
                <w:rFonts w:ascii="Georgia" w:eastAsia="Georgia" w:hAnsi="Georgia"/>
                <w:noProof/>
                <w:spacing w:val="8"/>
                <w:sz w:val="16"/>
                <w:szCs w:val="16"/>
                <w:lang w:val="de-CH" w:eastAsia="en-US"/>
              </w:rPr>
              <w:t>San Isidro – Lima 27</w:t>
            </w:r>
            <w:r w:rsidRPr="00E53174">
              <w:rPr>
                <w:rFonts w:ascii="Georgia" w:eastAsia="Georgia" w:hAnsi="Georgia"/>
                <w:noProof/>
                <w:spacing w:val="8"/>
                <w:sz w:val="16"/>
                <w:szCs w:val="16"/>
                <w:lang w:val="de-CH" w:eastAsia="en-US"/>
              </w:rPr>
              <w:br/>
              <w:t>Perú</w:t>
            </w:r>
          </w:p>
        </w:tc>
        <w:tc>
          <w:tcPr>
            <w:tcW w:w="1985" w:type="dxa"/>
            <w:shd w:val="clear" w:color="auto" w:fill="auto"/>
          </w:tcPr>
          <w:p w14:paraId="45DEF6DA" w14:textId="77777777" w:rsidR="00E53174" w:rsidRPr="00E53174" w:rsidRDefault="00E53174" w:rsidP="00E53174">
            <w:pPr>
              <w:spacing w:line="200" w:lineRule="exact"/>
              <w:ind w:left="142"/>
              <w:jc w:val="left"/>
              <w:rPr>
                <w:rFonts w:ascii="Georgia" w:eastAsia="Georgia" w:hAnsi="Georgia"/>
                <w:noProof/>
                <w:spacing w:val="8"/>
                <w:sz w:val="16"/>
                <w:szCs w:val="16"/>
                <w:lang w:val="es-PE" w:eastAsia="en-US"/>
              </w:rPr>
            </w:pPr>
            <w:r w:rsidRPr="00E53174">
              <w:rPr>
                <w:rFonts w:ascii="Georgia" w:eastAsia="Georgia" w:hAnsi="Georgia"/>
                <w:noProof/>
                <w:spacing w:val="8"/>
                <w:sz w:val="16"/>
                <w:szCs w:val="16"/>
                <w:lang w:val="es-PE" w:eastAsia="en-US"/>
              </w:rPr>
              <w:t>O  (511) 417-5000</w:t>
            </w:r>
          </w:p>
          <w:p w14:paraId="15B0D5DA" w14:textId="77777777" w:rsidR="00E53174" w:rsidRPr="00E53174" w:rsidRDefault="00E53174" w:rsidP="00E53174">
            <w:pPr>
              <w:spacing w:line="200" w:lineRule="exact"/>
              <w:ind w:left="142"/>
              <w:jc w:val="left"/>
              <w:rPr>
                <w:rFonts w:ascii="Georgia" w:eastAsia="Georgia" w:hAnsi="Georgia"/>
                <w:noProof/>
                <w:spacing w:val="8"/>
                <w:sz w:val="16"/>
                <w:szCs w:val="16"/>
                <w:lang w:val="es-PE" w:eastAsia="en-US"/>
              </w:rPr>
            </w:pPr>
            <w:r w:rsidRPr="00E53174">
              <w:rPr>
                <w:rFonts w:ascii="Georgia" w:eastAsia="Georgia" w:hAnsi="Georgia"/>
                <w:noProof/>
                <w:spacing w:val="8"/>
                <w:sz w:val="16"/>
                <w:szCs w:val="16"/>
                <w:lang w:val="es-PE" w:eastAsia="en-US"/>
              </w:rPr>
              <w:t>F   (511) 221-3313</w:t>
            </w:r>
          </w:p>
          <w:p w14:paraId="3C08B8B4" w14:textId="77777777" w:rsidR="00E53174" w:rsidRPr="00E53174" w:rsidRDefault="00E53174" w:rsidP="00E53174">
            <w:pPr>
              <w:spacing w:line="200" w:lineRule="exact"/>
              <w:ind w:left="142"/>
              <w:jc w:val="left"/>
              <w:rPr>
                <w:rFonts w:ascii="Georgia" w:eastAsia="Georgia" w:hAnsi="Georgia"/>
                <w:noProof/>
                <w:spacing w:val="8"/>
                <w:sz w:val="16"/>
                <w:szCs w:val="16"/>
                <w:lang w:val="es-PE" w:eastAsia="en-US"/>
              </w:rPr>
            </w:pPr>
            <w:r w:rsidRPr="00E53174">
              <w:rPr>
                <w:rFonts w:ascii="Georgia" w:eastAsia="Georgia" w:hAnsi="Georgia"/>
                <w:noProof/>
                <w:spacing w:val="8"/>
                <w:sz w:val="16"/>
                <w:szCs w:val="16"/>
                <w:lang w:val="es-PE" w:eastAsia="en-US"/>
              </w:rPr>
              <w:t>www.chubb.com/pe</w:t>
            </w:r>
          </w:p>
          <w:p w14:paraId="35A2A72F" w14:textId="77777777" w:rsidR="00E53174" w:rsidRPr="00E53174" w:rsidRDefault="00E53174" w:rsidP="00E53174">
            <w:pPr>
              <w:spacing w:line="200" w:lineRule="exact"/>
              <w:jc w:val="left"/>
              <w:rPr>
                <w:rFonts w:ascii="Georgia" w:eastAsia="Georgia" w:hAnsi="Georgia"/>
                <w:noProof/>
                <w:spacing w:val="8"/>
                <w:sz w:val="16"/>
                <w:szCs w:val="16"/>
                <w:lang w:val="es-PE" w:eastAsia="en-US"/>
              </w:rPr>
            </w:pPr>
          </w:p>
        </w:tc>
      </w:tr>
    </w:tbl>
    <w:p w14:paraId="3022371B" w14:textId="77777777" w:rsidR="00E53174" w:rsidRDefault="00E53174" w:rsidP="0072073A">
      <w:pPr>
        <w:jc w:val="center"/>
        <w:rPr>
          <w:rFonts w:ascii="Arial Narrow" w:hAnsi="Arial Narrow" w:cs="Arial"/>
          <w:b/>
          <w:sz w:val="22"/>
          <w:szCs w:val="22"/>
          <w:u w:val="single"/>
        </w:rPr>
      </w:pPr>
      <w:r>
        <w:rPr>
          <w:rFonts w:ascii="Georgia" w:hAnsi="Georgia" w:cs="Arial"/>
          <w:b/>
          <w:bCs/>
          <w:noProof/>
          <w:sz w:val="26"/>
          <w:szCs w:val="26"/>
          <w:lang w:val="es-PE"/>
        </w:rPr>
        <w:drawing>
          <wp:anchor distT="0" distB="0" distL="114300" distR="114300" simplePos="0" relativeHeight="251659264" behindDoc="0" locked="0" layoutInCell="1" allowOverlap="1" wp14:anchorId="4C5D9C12" wp14:editId="3E3939BA">
            <wp:simplePos x="0" y="0"/>
            <wp:positionH relativeFrom="column">
              <wp:posOffset>-19685</wp:posOffset>
            </wp:positionH>
            <wp:positionV relativeFrom="paragraph">
              <wp:posOffset>-372110</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BA8C0CE" w14:textId="77777777" w:rsidR="00E53174" w:rsidRDefault="00E53174" w:rsidP="0072073A">
      <w:pPr>
        <w:jc w:val="center"/>
        <w:rPr>
          <w:rFonts w:ascii="Arial Narrow" w:hAnsi="Arial Narrow" w:cs="Arial"/>
          <w:b/>
          <w:sz w:val="22"/>
          <w:szCs w:val="22"/>
          <w:u w:val="single"/>
        </w:rPr>
      </w:pPr>
    </w:p>
    <w:p w14:paraId="03F968F2" w14:textId="77777777" w:rsidR="00E53174" w:rsidRDefault="00E53174" w:rsidP="0072073A">
      <w:pPr>
        <w:jc w:val="center"/>
        <w:rPr>
          <w:rFonts w:ascii="Arial Narrow" w:hAnsi="Arial Narrow" w:cs="Arial"/>
          <w:b/>
          <w:sz w:val="22"/>
          <w:szCs w:val="22"/>
          <w:u w:val="single"/>
        </w:rPr>
      </w:pPr>
    </w:p>
    <w:p w14:paraId="123BB1AE" w14:textId="77777777" w:rsidR="00E53174" w:rsidRDefault="00E53174" w:rsidP="00E53174">
      <w:pPr>
        <w:ind w:right="191"/>
        <w:jc w:val="left"/>
        <w:rPr>
          <w:rFonts w:ascii="Georgia" w:hAnsi="Georgia" w:cs="Arial"/>
          <w:b/>
          <w:sz w:val="20"/>
          <w:u w:val="single"/>
        </w:rPr>
      </w:pPr>
    </w:p>
    <w:p w14:paraId="171C28AB" w14:textId="77777777" w:rsidR="00E53174" w:rsidRPr="00E53174" w:rsidRDefault="00E53174" w:rsidP="00E53174">
      <w:pPr>
        <w:ind w:right="191"/>
        <w:jc w:val="left"/>
        <w:rPr>
          <w:rFonts w:ascii="Georgia" w:hAnsi="Georgia" w:cs="Arial"/>
          <w:b/>
          <w:sz w:val="26"/>
          <w:szCs w:val="26"/>
        </w:rPr>
      </w:pPr>
      <w:r w:rsidRPr="00E53174">
        <w:rPr>
          <w:rFonts w:ascii="Georgia" w:hAnsi="Georgia" w:cs="Arial"/>
          <w:b/>
          <w:sz w:val="26"/>
          <w:szCs w:val="26"/>
        </w:rPr>
        <w:t>Invalidez Parcial Permanente por Accidente</w:t>
      </w:r>
    </w:p>
    <w:p w14:paraId="2E50F466" w14:textId="77777777" w:rsidR="00E53174" w:rsidRPr="00E53174" w:rsidRDefault="00E53174" w:rsidP="00E53174">
      <w:pPr>
        <w:ind w:right="191"/>
        <w:jc w:val="left"/>
        <w:rPr>
          <w:rFonts w:ascii="Georgia" w:hAnsi="Georgia" w:cs="Arial"/>
          <w:b/>
          <w:sz w:val="20"/>
        </w:rPr>
      </w:pPr>
    </w:p>
    <w:p w14:paraId="72BCC372" w14:textId="77777777" w:rsidR="00E53174" w:rsidRPr="00E53174" w:rsidRDefault="00E53174" w:rsidP="00E53174">
      <w:pPr>
        <w:pBdr>
          <w:bottom w:val="single" w:sz="4" w:space="1" w:color="01C1D6"/>
        </w:pBdr>
        <w:ind w:right="191"/>
        <w:jc w:val="left"/>
        <w:rPr>
          <w:rFonts w:ascii="Georgia" w:hAnsi="Georgia" w:cs="Arial"/>
          <w:b/>
          <w:sz w:val="20"/>
        </w:rPr>
      </w:pPr>
      <w:r w:rsidRPr="00E53174">
        <w:rPr>
          <w:rFonts w:ascii="Georgia" w:hAnsi="Georgia" w:cs="Arial"/>
          <w:b/>
          <w:sz w:val="20"/>
        </w:rPr>
        <w:t>Cláusula Adicional</w:t>
      </w:r>
    </w:p>
    <w:p w14:paraId="4EA2D6D0" w14:textId="77777777" w:rsidR="00E53174" w:rsidRDefault="00674278" w:rsidP="00674278">
      <w:pPr>
        <w:pStyle w:val="NormalWeb"/>
        <w:ind w:right="193"/>
        <w:rPr>
          <w:rFonts w:ascii="Georgia" w:hAnsi="Georgia"/>
          <w:sz w:val="20"/>
          <w:szCs w:val="20"/>
        </w:rPr>
      </w:pPr>
      <w:r w:rsidRPr="00674278">
        <w:rPr>
          <w:rFonts w:ascii="Georgia" w:hAnsi="Georgia"/>
          <w:sz w:val="20"/>
          <w:szCs w:val="20"/>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647"/>
      </w:tblGrid>
      <w:tr w:rsidR="00E53174" w:rsidRPr="00E53174" w14:paraId="22489CBF" w14:textId="77777777" w:rsidTr="009A785D">
        <w:tc>
          <w:tcPr>
            <w:tcW w:w="8647" w:type="dxa"/>
            <w:shd w:val="clear" w:color="auto" w:fill="01C1D6"/>
          </w:tcPr>
          <w:p w14:paraId="5817C0B4" w14:textId="77777777" w:rsidR="00E53174" w:rsidRPr="00E53174" w:rsidRDefault="00E53174" w:rsidP="00E53174">
            <w:pPr>
              <w:spacing w:line="228" w:lineRule="auto"/>
              <w:ind w:right="282"/>
              <w:jc w:val="left"/>
              <w:rPr>
                <w:rFonts w:ascii="Georgia" w:hAnsi="Georgia" w:cs="Arial"/>
                <w:b/>
                <w:color w:val="FFFFFF" w:themeColor="background1"/>
                <w:sz w:val="20"/>
              </w:rPr>
            </w:pPr>
            <w:r w:rsidRPr="00E53174">
              <w:rPr>
                <w:rFonts w:ascii="Georgia" w:hAnsi="Georgia" w:cs="Arial"/>
                <w:b/>
                <w:color w:val="FFFFFF" w:themeColor="background1"/>
                <w:sz w:val="20"/>
              </w:rPr>
              <w:t>Artículo 1°     De</w:t>
            </w:r>
            <w:r>
              <w:rPr>
                <w:rFonts w:ascii="Georgia" w:hAnsi="Georgia" w:cs="Arial"/>
                <w:b/>
                <w:color w:val="FFFFFF" w:themeColor="background1"/>
                <w:sz w:val="20"/>
              </w:rPr>
              <w:t>scripción de la Cobertura</w:t>
            </w:r>
          </w:p>
        </w:tc>
      </w:tr>
    </w:tbl>
    <w:p w14:paraId="56B21FAE" w14:textId="77777777" w:rsidR="00674278" w:rsidRDefault="00674278" w:rsidP="00674278">
      <w:pPr>
        <w:pStyle w:val="NormalWeb"/>
        <w:spacing w:before="0" w:beforeAutospacing="0" w:after="0" w:afterAutospacing="0"/>
        <w:ind w:right="193"/>
        <w:rPr>
          <w:rFonts w:ascii="Georgia" w:hAnsi="Georgia"/>
          <w:sz w:val="20"/>
          <w:szCs w:val="20"/>
        </w:rPr>
      </w:pPr>
    </w:p>
    <w:p w14:paraId="0A763D51" w14:textId="77777777" w:rsidR="00674278" w:rsidRDefault="00674278" w:rsidP="00674278">
      <w:pPr>
        <w:pStyle w:val="NormalWeb"/>
        <w:spacing w:before="0" w:beforeAutospacing="0" w:after="0" w:afterAutospacing="0"/>
        <w:ind w:right="193"/>
        <w:rPr>
          <w:rFonts w:ascii="Georgia" w:hAnsi="Georgia"/>
          <w:sz w:val="20"/>
          <w:szCs w:val="20"/>
        </w:rPr>
      </w:pPr>
      <w:r w:rsidRPr="00674278">
        <w:rPr>
          <w:rFonts w:ascii="Georgia" w:hAnsi="Georgia"/>
          <w:sz w:val="20"/>
          <w:szCs w:val="20"/>
        </w:rPr>
        <w:t>Se entenderá por invalidez parcial permanente, únicamente los siguientes supuestos:</w:t>
      </w:r>
    </w:p>
    <w:p w14:paraId="751AFD80" w14:textId="77777777" w:rsidR="00674278" w:rsidRPr="00674278" w:rsidRDefault="00674278" w:rsidP="00674278">
      <w:pPr>
        <w:pStyle w:val="NormalWeb"/>
        <w:spacing w:before="0" w:beforeAutospacing="0" w:after="0" w:afterAutospacing="0"/>
        <w:ind w:right="193"/>
        <w:rPr>
          <w:rFonts w:ascii="Georgia" w:hAnsi="Georgia"/>
          <w:sz w:val="20"/>
          <w:szCs w:val="20"/>
        </w:rPr>
      </w:pPr>
    </w:p>
    <w:p w14:paraId="277C16BB" w14:textId="77777777" w:rsidR="00674278" w:rsidRPr="00674278" w:rsidRDefault="00674278" w:rsidP="00674278">
      <w:pPr>
        <w:pStyle w:val="NormalWeb"/>
        <w:numPr>
          <w:ilvl w:val="0"/>
          <w:numId w:val="6"/>
        </w:numPr>
        <w:spacing w:before="0" w:beforeAutospacing="0" w:after="0" w:afterAutospacing="0"/>
        <w:ind w:left="426" w:right="193" w:hanging="426"/>
        <w:rPr>
          <w:rFonts w:ascii="Georgia" w:hAnsi="Georgia"/>
          <w:sz w:val="20"/>
          <w:szCs w:val="20"/>
        </w:rPr>
      </w:pPr>
      <w:r w:rsidRPr="00674278">
        <w:rPr>
          <w:rFonts w:ascii="Georgia" w:hAnsi="Georgia"/>
          <w:sz w:val="20"/>
          <w:szCs w:val="20"/>
        </w:rPr>
        <w:t>El 50% de la suma asegurada por la pérdida total de:</w:t>
      </w:r>
    </w:p>
    <w:p w14:paraId="5E80C7E4" w14:textId="77777777" w:rsidR="00674278" w:rsidRPr="00674278" w:rsidRDefault="00674278" w:rsidP="00674278">
      <w:pPr>
        <w:pStyle w:val="NormalWeb"/>
        <w:numPr>
          <w:ilvl w:val="0"/>
          <w:numId w:val="10"/>
        </w:numPr>
        <w:spacing w:before="0" w:beforeAutospacing="0" w:after="0" w:afterAutospacing="0"/>
        <w:ind w:left="567" w:right="193" w:hanging="141"/>
        <w:rPr>
          <w:rFonts w:ascii="Georgia" w:hAnsi="Georgia"/>
          <w:sz w:val="20"/>
          <w:szCs w:val="20"/>
        </w:rPr>
      </w:pPr>
      <w:r w:rsidRPr="00674278">
        <w:rPr>
          <w:rFonts w:ascii="Georgia" w:hAnsi="Georgia"/>
          <w:sz w:val="20"/>
          <w:szCs w:val="20"/>
        </w:rPr>
        <w:t>la visión de un ojo, o</w:t>
      </w:r>
    </w:p>
    <w:p w14:paraId="0D816C5E" w14:textId="77777777" w:rsidR="00674278" w:rsidRPr="00674278" w:rsidRDefault="00674278" w:rsidP="00674278">
      <w:pPr>
        <w:pStyle w:val="NormalWeb"/>
        <w:numPr>
          <w:ilvl w:val="0"/>
          <w:numId w:val="10"/>
        </w:numPr>
        <w:spacing w:before="0" w:beforeAutospacing="0" w:after="0" w:afterAutospacing="0"/>
        <w:ind w:left="567" w:right="193" w:hanging="141"/>
        <w:rPr>
          <w:rFonts w:ascii="Georgia" w:hAnsi="Georgia"/>
          <w:sz w:val="20"/>
          <w:szCs w:val="20"/>
        </w:rPr>
      </w:pPr>
      <w:r w:rsidRPr="00674278">
        <w:rPr>
          <w:rFonts w:ascii="Georgia" w:hAnsi="Georgia"/>
          <w:sz w:val="20"/>
          <w:szCs w:val="20"/>
        </w:rPr>
        <w:t>la audición completa de ambos oídos, o</w:t>
      </w:r>
    </w:p>
    <w:p w14:paraId="39271343" w14:textId="77777777" w:rsidR="00674278" w:rsidRPr="00674278" w:rsidRDefault="00674278" w:rsidP="00674278">
      <w:pPr>
        <w:pStyle w:val="NormalWeb"/>
        <w:numPr>
          <w:ilvl w:val="0"/>
          <w:numId w:val="10"/>
        </w:numPr>
        <w:spacing w:before="0" w:beforeAutospacing="0" w:after="0" w:afterAutospacing="0"/>
        <w:ind w:left="567" w:right="193" w:hanging="141"/>
        <w:rPr>
          <w:rFonts w:ascii="Georgia" w:hAnsi="Georgia"/>
          <w:sz w:val="20"/>
          <w:szCs w:val="20"/>
        </w:rPr>
      </w:pPr>
      <w:r w:rsidRPr="00674278">
        <w:rPr>
          <w:rFonts w:ascii="Georgia" w:hAnsi="Georgia"/>
          <w:sz w:val="20"/>
          <w:szCs w:val="20"/>
        </w:rPr>
        <w:t>un brazo o una mano, o</w:t>
      </w:r>
    </w:p>
    <w:p w14:paraId="2B1AC543" w14:textId="77777777" w:rsidR="00674278" w:rsidRDefault="00674278" w:rsidP="00674278">
      <w:pPr>
        <w:pStyle w:val="NormalWeb"/>
        <w:numPr>
          <w:ilvl w:val="0"/>
          <w:numId w:val="10"/>
        </w:numPr>
        <w:spacing w:before="0" w:beforeAutospacing="0" w:after="0" w:afterAutospacing="0"/>
        <w:ind w:left="567" w:right="193" w:hanging="141"/>
        <w:rPr>
          <w:rFonts w:ascii="Georgia" w:hAnsi="Georgia"/>
          <w:sz w:val="20"/>
          <w:szCs w:val="20"/>
        </w:rPr>
      </w:pPr>
      <w:r w:rsidRPr="00674278">
        <w:rPr>
          <w:rFonts w:ascii="Georgia" w:hAnsi="Georgia"/>
          <w:sz w:val="20"/>
          <w:szCs w:val="20"/>
        </w:rPr>
        <w:t>una pierna o un pie</w:t>
      </w:r>
    </w:p>
    <w:p w14:paraId="3D0E5F9A" w14:textId="77777777" w:rsidR="00674278" w:rsidRPr="00674278" w:rsidRDefault="00674278" w:rsidP="00674278">
      <w:pPr>
        <w:pStyle w:val="NormalWeb"/>
        <w:spacing w:before="0" w:beforeAutospacing="0" w:after="0" w:afterAutospacing="0"/>
        <w:ind w:left="567" w:right="193"/>
        <w:rPr>
          <w:rFonts w:ascii="Georgia" w:hAnsi="Georgia"/>
          <w:sz w:val="20"/>
          <w:szCs w:val="20"/>
        </w:rPr>
      </w:pPr>
    </w:p>
    <w:p w14:paraId="6B765CA0" w14:textId="77777777" w:rsidR="00674278" w:rsidRPr="00674278" w:rsidRDefault="00674278" w:rsidP="00674278">
      <w:pPr>
        <w:pStyle w:val="NormalWeb"/>
        <w:numPr>
          <w:ilvl w:val="0"/>
          <w:numId w:val="6"/>
        </w:numPr>
        <w:spacing w:before="0" w:beforeAutospacing="0" w:after="0" w:afterAutospacing="0"/>
        <w:ind w:left="426" w:right="193" w:hanging="437"/>
        <w:rPr>
          <w:rFonts w:ascii="Georgia" w:hAnsi="Georgia"/>
          <w:sz w:val="20"/>
          <w:szCs w:val="20"/>
        </w:rPr>
      </w:pPr>
      <w:r w:rsidRPr="00674278">
        <w:rPr>
          <w:rFonts w:ascii="Georgia" w:hAnsi="Georgia"/>
          <w:sz w:val="20"/>
          <w:szCs w:val="20"/>
        </w:rPr>
        <w:t>El 25% de la suma as</w:t>
      </w:r>
      <w:r>
        <w:rPr>
          <w:rFonts w:ascii="Georgia" w:hAnsi="Georgia"/>
          <w:sz w:val="20"/>
          <w:szCs w:val="20"/>
        </w:rPr>
        <w:t>egurada por la pérdida total de</w:t>
      </w:r>
      <w:r w:rsidRPr="00674278">
        <w:rPr>
          <w:rFonts w:ascii="Georgia" w:hAnsi="Georgia"/>
          <w:sz w:val="20"/>
          <w:szCs w:val="20"/>
        </w:rPr>
        <w:t>:</w:t>
      </w:r>
    </w:p>
    <w:p w14:paraId="36CC637B" w14:textId="77777777" w:rsidR="00674278" w:rsidRPr="00674278" w:rsidRDefault="00674278" w:rsidP="00674278">
      <w:pPr>
        <w:pStyle w:val="NormalWeb"/>
        <w:numPr>
          <w:ilvl w:val="0"/>
          <w:numId w:val="11"/>
        </w:numPr>
        <w:spacing w:before="0" w:beforeAutospacing="0" w:after="0" w:afterAutospacing="0"/>
        <w:ind w:left="567" w:right="193" w:hanging="141"/>
        <w:rPr>
          <w:rFonts w:ascii="Georgia" w:hAnsi="Georgia"/>
          <w:sz w:val="20"/>
          <w:szCs w:val="20"/>
        </w:rPr>
      </w:pPr>
      <w:r w:rsidRPr="00674278">
        <w:rPr>
          <w:rFonts w:ascii="Georgia" w:hAnsi="Georgia"/>
          <w:sz w:val="20"/>
          <w:szCs w:val="20"/>
        </w:rPr>
        <w:t>los dedos pulgar e índice de una mano, o</w:t>
      </w:r>
    </w:p>
    <w:p w14:paraId="5A113B2D" w14:textId="77777777" w:rsidR="00674278" w:rsidRDefault="00674278" w:rsidP="00674278">
      <w:pPr>
        <w:pStyle w:val="NormalWeb"/>
        <w:numPr>
          <w:ilvl w:val="0"/>
          <w:numId w:val="11"/>
        </w:numPr>
        <w:spacing w:before="0" w:beforeAutospacing="0" w:after="0" w:afterAutospacing="0"/>
        <w:ind w:left="567" w:right="193" w:hanging="141"/>
        <w:rPr>
          <w:rFonts w:ascii="Georgia" w:hAnsi="Georgia"/>
          <w:sz w:val="20"/>
          <w:szCs w:val="20"/>
        </w:rPr>
      </w:pPr>
      <w:r w:rsidRPr="00674278">
        <w:rPr>
          <w:rFonts w:ascii="Georgia" w:hAnsi="Georgia"/>
          <w:sz w:val="20"/>
          <w:szCs w:val="20"/>
        </w:rPr>
        <w:t>la audición completa de un oído.</w:t>
      </w:r>
    </w:p>
    <w:p w14:paraId="621810DA" w14:textId="77777777" w:rsidR="00674278" w:rsidRPr="00674278" w:rsidRDefault="00674278" w:rsidP="00674278">
      <w:pPr>
        <w:pStyle w:val="NormalWeb"/>
        <w:spacing w:before="0" w:beforeAutospacing="0" w:after="0" w:afterAutospacing="0"/>
        <w:ind w:left="567" w:right="193"/>
        <w:rPr>
          <w:rFonts w:ascii="Georgia" w:hAnsi="Georgia"/>
          <w:sz w:val="20"/>
          <w:szCs w:val="20"/>
        </w:rPr>
      </w:pPr>
    </w:p>
    <w:p w14:paraId="504B5D6D" w14:textId="77777777" w:rsidR="00674278" w:rsidRDefault="00674278" w:rsidP="00674278">
      <w:pPr>
        <w:pStyle w:val="NormalWeb"/>
        <w:spacing w:before="0" w:beforeAutospacing="0" w:after="0" w:afterAutospacing="0"/>
        <w:ind w:right="193"/>
        <w:rPr>
          <w:rFonts w:ascii="Georgia" w:hAnsi="Georgia"/>
          <w:sz w:val="20"/>
          <w:szCs w:val="20"/>
        </w:rPr>
      </w:pPr>
      <w:r w:rsidRPr="00674278">
        <w:rPr>
          <w:rFonts w:ascii="Georgia" w:hAnsi="Georgia"/>
          <w:sz w:val="20"/>
          <w:szCs w:val="20"/>
        </w:rPr>
        <w:t>Por pérdida total se entiende a la amputación o la inhabilitación funcional total y definitiva del órgano o miembro lesionado.</w:t>
      </w:r>
    </w:p>
    <w:p w14:paraId="764BFD74" w14:textId="77777777" w:rsidR="00674278" w:rsidRPr="00674278" w:rsidRDefault="00674278" w:rsidP="00674278">
      <w:pPr>
        <w:pStyle w:val="NormalWeb"/>
        <w:spacing w:before="0" w:beforeAutospacing="0" w:after="0" w:afterAutospacing="0"/>
        <w:ind w:right="193"/>
        <w:rPr>
          <w:rFonts w:ascii="Georgia" w:hAnsi="Georgia"/>
          <w:sz w:val="20"/>
          <w:szCs w:val="20"/>
        </w:rPr>
      </w:pPr>
      <w:r w:rsidRPr="00674278">
        <w:rPr>
          <w:rFonts w:ascii="Georgia" w:hAnsi="Georgia"/>
          <w:sz w:val="20"/>
          <w:szCs w:val="20"/>
        </w:rPr>
        <w:t>En caso de ocurrir más de un accidente, los porcentajes a indemnizar se calcularán aplicando los porcentajes indicados, sobre la suma asegurada y no sobre el saldo después de pagadas indemnizaciones anteriores.  Sin embargo, el total de indemnizaciones provenientes de la invalidez por uno o más accidentes ocurridos durante la vigencia de esta cláusula adicional, no podrán en ningún caso exceder el 100% de la suma asegurada por concepto de esta cláusula adicional.</w:t>
      </w:r>
    </w:p>
    <w:p w14:paraId="5C4749B1" w14:textId="77777777" w:rsidR="00674278" w:rsidRPr="00674278" w:rsidRDefault="00674278" w:rsidP="00674278">
      <w:pPr>
        <w:pStyle w:val="NormalWeb"/>
        <w:spacing w:before="0" w:beforeAutospacing="0" w:after="0" w:afterAutospacing="0"/>
        <w:ind w:right="193"/>
        <w:rPr>
          <w:rFonts w:ascii="Georgia" w:hAnsi="Georgia"/>
          <w:sz w:val="20"/>
          <w:szCs w:val="20"/>
        </w:rPr>
      </w:pPr>
    </w:p>
    <w:p w14:paraId="35E30390" w14:textId="77777777" w:rsidR="00674278" w:rsidRDefault="00674278" w:rsidP="00674278">
      <w:pPr>
        <w:pStyle w:val="NormalWeb"/>
        <w:spacing w:before="0" w:beforeAutospacing="0" w:after="0" w:afterAutospacing="0"/>
        <w:ind w:right="193"/>
        <w:rPr>
          <w:rFonts w:ascii="Georgia" w:hAnsi="Georgia"/>
          <w:sz w:val="20"/>
          <w:szCs w:val="20"/>
        </w:rPr>
      </w:pPr>
      <w:r w:rsidRPr="00674278">
        <w:rPr>
          <w:rFonts w:ascii="Georgia" w:hAnsi="Georgia"/>
          <w:sz w:val="20"/>
          <w:szCs w:val="20"/>
        </w:rPr>
        <w:t>Si el asegurado posteriormente falleciera a consecuencia del accidente que originó la invalidez cubierta por esta cobertura adicional, se establece que las sumas que hayan sido pagadas por este concepto serán descontadas de las que corresponda pagar por la cobertura de fallecimiento por muerte accidental.</w:t>
      </w:r>
    </w:p>
    <w:p w14:paraId="610C733E" w14:textId="77777777" w:rsidR="00674278" w:rsidRDefault="00674278" w:rsidP="00674278">
      <w:pPr>
        <w:pStyle w:val="NormalWeb"/>
        <w:spacing w:before="0" w:beforeAutospacing="0" w:after="0" w:afterAutospacing="0"/>
        <w:ind w:right="193"/>
        <w:rPr>
          <w:rFonts w:ascii="Georgia" w:hAnsi="Georgia"/>
          <w:sz w:val="20"/>
          <w:szCs w:val="20"/>
        </w:rPr>
      </w:pPr>
    </w:p>
    <w:p w14:paraId="35ADF9C0" w14:textId="77777777" w:rsidR="00674278" w:rsidRDefault="00674278" w:rsidP="00674278">
      <w:pPr>
        <w:pStyle w:val="NormalWeb"/>
        <w:spacing w:before="0" w:beforeAutospacing="0" w:after="0" w:afterAutospacing="0"/>
        <w:ind w:right="193"/>
        <w:rPr>
          <w:rFonts w:ascii="Georgia" w:hAnsi="Georgia"/>
          <w:sz w:val="20"/>
          <w:szCs w:val="20"/>
        </w:rPr>
      </w:pPr>
      <w:r w:rsidRPr="00674278">
        <w:rPr>
          <w:rFonts w:ascii="Georgia" w:hAnsi="Georgia"/>
          <w:sz w:val="20"/>
          <w:szCs w:val="20"/>
        </w:rPr>
        <w:t>Solo podrán ser asegurados bajo la presente cláusula adicional las personas que se encuentren en el siguiente rango de edad:</w:t>
      </w:r>
    </w:p>
    <w:p w14:paraId="6E5307A0" w14:textId="77777777" w:rsidR="00674278" w:rsidRPr="00674278" w:rsidRDefault="00674278" w:rsidP="00674278">
      <w:pPr>
        <w:pStyle w:val="NormalWeb"/>
        <w:spacing w:before="0" w:beforeAutospacing="0" w:after="0" w:afterAutospacing="0"/>
        <w:ind w:right="193"/>
        <w:rPr>
          <w:rFonts w:ascii="Georgia" w:hAnsi="Georgia"/>
          <w:sz w:val="20"/>
          <w:szCs w:val="20"/>
        </w:rPr>
      </w:pPr>
    </w:p>
    <w:p w14:paraId="02586CE8" w14:textId="77777777" w:rsidR="00674278" w:rsidRPr="00674278" w:rsidRDefault="00674278" w:rsidP="00674278">
      <w:pPr>
        <w:pStyle w:val="NormalWeb"/>
        <w:numPr>
          <w:ilvl w:val="0"/>
          <w:numId w:val="12"/>
        </w:numPr>
        <w:spacing w:before="0" w:beforeAutospacing="0" w:after="0" w:afterAutospacing="0"/>
        <w:ind w:left="567" w:right="193" w:hanging="141"/>
        <w:rPr>
          <w:rFonts w:ascii="Georgia" w:hAnsi="Georgia"/>
          <w:sz w:val="20"/>
          <w:szCs w:val="20"/>
        </w:rPr>
      </w:pPr>
      <w:r w:rsidRPr="00674278">
        <w:rPr>
          <w:rFonts w:ascii="Georgia" w:hAnsi="Georgia"/>
          <w:sz w:val="20"/>
          <w:szCs w:val="20"/>
        </w:rPr>
        <w:t>Edad máxima de ingreso: 64 años</w:t>
      </w:r>
    </w:p>
    <w:p w14:paraId="1556A36D" w14:textId="77777777" w:rsidR="00E53174" w:rsidRDefault="00674278" w:rsidP="00674278">
      <w:pPr>
        <w:pStyle w:val="NormalWeb"/>
        <w:numPr>
          <w:ilvl w:val="0"/>
          <w:numId w:val="12"/>
        </w:numPr>
        <w:spacing w:before="0" w:beforeAutospacing="0" w:after="0" w:afterAutospacing="0"/>
        <w:ind w:left="567" w:right="193" w:hanging="141"/>
        <w:rPr>
          <w:rFonts w:ascii="Georgia" w:hAnsi="Georgia"/>
          <w:sz w:val="20"/>
          <w:szCs w:val="20"/>
        </w:rPr>
      </w:pPr>
      <w:r w:rsidRPr="00674278">
        <w:rPr>
          <w:rFonts w:ascii="Georgia" w:hAnsi="Georgia"/>
          <w:sz w:val="20"/>
          <w:szCs w:val="20"/>
        </w:rPr>
        <w:t>Edad máxima de permanencia: 65 años</w:t>
      </w:r>
    </w:p>
    <w:p w14:paraId="37C84758" w14:textId="77777777" w:rsidR="00E53174" w:rsidRDefault="00E53174" w:rsidP="00E53174">
      <w:pPr>
        <w:pStyle w:val="NormalWeb"/>
        <w:spacing w:before="0" w:beforeAutospacing="0" w:after="0" w:afterAutospacing="0"/>
        <w:ind w:right="193"/>
        <w:rPr>
          <w:rFonts w:ascii="Georgia" w:hAnsi="Georgia"/>
          <w:sz w:val="20"/>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647"/>
      </w:tblGrid>
      <w:tr w:rsidR="00E53174" w:rsidRPr="00E53174" w14:paraId="72AA7A7B" w14:textId="77777777" w:rsidTr="009A785D">
        <w:tc>
          <w:tcPr>
            <w:tcW w:w="8647" w:type="dxa"/>
            <w:shd w:val="clear" w:color="auto" w:fill="01C1D6"/>
          </w:tcPr>
          <w:p w14:paraId="1965D509" w14:textId="77777777" w:rsidR="00E53174" w:rsidRPr="00E53174" w:rsidRDefault="00E53174" w:rsidP="00E53174">
            <w:pPr>
              <w:spacing w:line="228" w:lineRule="auto"/>
              <w:ind w:right="282"/>
              <w:jc w:val="left"/>
              <w:rPr>
                <w:rFonts w:ascii="Georgia" w:hAnsi="Georgia" w:cs="Arial"/>
                <w:b/>
                <w:color w:val="FFFFFF" w:themeColor="background1"/>
                <w:sz w:val="20"/>
              </w:rPr>
            </w:pPr>
            <w:r>
              <w:rPr>
                <w:rFonts w:ascii="Georgia" w:hAnsi="Georgia" w:cs="Arial"/>
                <w:b/>
                <w:color w:val="FFFFFF" w:themeColor="background1"/>
                <w:sz w:val="20"/>
              </w:rPr>
              <w:t>Artículo 2</w:t>
            </w:r>
            <w:r w:rsidRPr="00E53174">
              <w:rPr>
                <w:rFonts w:ascii="Georgia" w:hAnsi="Georgia" w:cs="Arial"/>
                <w:b/>
                <w:color w:val="FFFFFF" w:themeColor="background1"/>
                <w:sz w:val="20"/>
              </w:rPr>
              <w:t xml:space="preserve">°     </w:t>
            </w:r>
            <w:r>
              <w:rPr>
                <w:rFonts w:ascii="Georgia" w:hAnsi="Georgia" w:cs="Arial"/>
                <w:b/>
                <w:color w:val="FFFFFF" w:themeColor="background1"/>
                <w:sz w:val="20"/>
              </w:rPr>
              <w:t>Exclusiones</w:t>
            </w:r>
          </w:p>
        </w:tc>
      </w:tr>
    </w:tbl>
    <w:p w14:paraId="1129B414" w14:textId="77777777" w:rsidR="00E53174" w:rsidRPr="00E53174" w:rsidRDefault="00E53174" w:rsidP="00E53174">
      <w:pPr>
        <w:pStyle w:val="NormalWeb"/>
        <w:spacing w:before="0" w:beforeAutospacing="0" w:after="0" w:afterAutospacing="0"/>
        <w:ind w:right="193"/>
        <w:rPr>
          <w:rFonts w:ascii="Georgia" w:hAnsi="Georgia"/>
          <w:sz w:val="20"/>
          <w:szCs w:val="20"/>
        </w:rPr>
      </w:pPr>
    </w:p>
    <w:p w14:paraId="07EE0C41" w14:textId="77777777" w:rsidR="00674278" w:rsidRDefault="00674278" w:rsidP="00674278">
      <w:pPr>
        <w:pStyle w:val="NormalWeb"/>
        <w:spacing w:before="0" w:beforeAutospacing="0" w:after="0" w:afterAutospacing="0"/>
        <w:ind w:right="193"/>
        <w:rPr>
          <w:rStyle w:val="Textoennegrita"/>
          <w:rFonts w:ascii="Georgia" w:hAnsi="Georgia"/>
          <w:sz w:val="20"/>
          <w:szCs w:val="20"/>
        </w:rPr>
      </w:pPr>
      <w:r w:rsidRPr="00674278">
        <w:rPr>
          <w:rStyle w:val="Textoennegrita"/>
          <w:rFonts w:ascii="Georgia" w:hAnsi="Georgia"/>
          <w:sz w:val="20"/>
          <w:szCs w:val="20"/>
        </w:rPr>
        <w:t>Adicionalmente a las exclusiones establecidas en el artículo 4° de las Condiciones Generales de la cobertura principal, queda excluido de cobertura los accidentes y/o lesiones que ocurran a consecuencia de:</w:t>
      </w:r>
    </w:p>
    <w:p w14:paraId="5258DACD" w14:textId="77777777" w:rsidR="00674278" w:rsidRPr="00674278" w:rsidRDefault="00674278" w:rsidP="00674278">
      <w:pPr>
        <w:pStyle w:val="NormalWeb"/>
        <w:spacing w:before="0" w:beforeAutospacing="0" w:after="0" w:afterAutospacing="0"/>
        <w:ind w:right="193"/>
        <w:rPr>
          <w:rStyle w:val="Textoennegrita"/>
          <w:rFonts w:ascii="Georgia" w:hAnsi="Georgia"/>
          <w:sz w:val="20"/>
          <w:szCs w:val="20"/>
        </w:rPr>
      </w:pPr>
    </w:p>
    <w:p w14:paraId="35CEC55D" w14:textId="77777777" w:rsidR="00674278" w:rsidRPr="00674278" w:rsidRDefault="00674278" w:rsidP="00674278">
      <w:pPr>
        <w:pStyle w:val="NormalWeb"/>
        <w:numPr>
          <w:ilvl w:val="0"/>
          <w:numId w:val="13"/>
        </w:numPr>
        <w:spacing w:before="0" w:beforeAutospacing="0" w:after="0" w:afterAutospacing="0"/>
        <w:ind w:left="426" w:right="193" w:hanging="426"/>
        <w:rPr>
          <w:rStyle w:val="Textoennegrita"/>
          <w:rFonts w:ascii="Georgia" w:hAnsi="Georgia"/>
          <w:sz w:val="20"/>
          <w:szCs w:val="20"/>
        </w:rPr>
      </w:pPr>
      <w:r w:rsidRPr="00674278">
        <w:rPr>
          <w:rStyle w:val="Textoennegrita"/>
          <w:rFonts w:ascii="Georgia" w:hAnsi="Georgia"/>
          <w:sz w:val="20"/>
          <w:szCs w:val="20"/>
        </w:rPr>
        <w:t>Lesiones pre-existentes al momento de contratar esta cláusula adicional.</w:t>
      </w:r>
    </w:p>
    <w:p w14:paraId="587640EC" w14:textId="77777777" w:rsidR="00674278" w:rsidRPr="00674278" w:rsidRDefault="00674278" w:rsidP="00674278">
      <w:pPr>
        <w:pStyle w:val="NormalWeb"/>
        <w:numPr>
          <w:ilvl w:val="0"/>
          <w:numId w:val="13"/>
        </w:numPr>
        <w:spacing w:before="0" w:beforeAutospacing="0" w:after="0" w:afterAutospacing="0"/>
        <w:ind w:left="426" w:right="193" w:hanging="426"/>
        <w:rPr>
          <w:rStyle w:val="Textoennegrita"/>
          <w:rFonts w:ascii="Georgia" w:hAnsi="Georgia"/>
          <w:sz w:val="20"/>
          <w:szCs w:val="20"/>
        </w:rPr>
      </w:pPr>
      <w:r w:rsidRPr="00674278">
        <w:rPr>
          <w:rStyle w:val="Textoennegrita"/>
          <w:rFonts w:ascii="Georgia" w:hAnsi="Georgia"/>
          <w:sz w:val="20"/>
          <w:szCs w:val="20"/>
        </w:rPr>
        <w:t>Intento de suicidio.</w:t>
      </w:r>
    </w:p>
    <w:p w14:paraId="4BA58A28" w14:textId="77777777" w:rsidR="00674278" w:rsidRPr="00674278" w:rsidRDefault="00674278" w:rsidP="00674278">
      <w:pPr>
        <w:pStyle w:val="NormalWeb"/>
        <w:numPr>
          <w:ilvl w:val="0"/>
          <w:numId w:val="13"/>
        </w:numPr>
        <w:spacing w:before="0" w:beforeAutospacing="0" w:after="0" w:afterAutospacing="0"/>
        <w:ind w:left="426" w:right="193" w:hanging="426"/>
        <w:rPr>
          <w:rStyle w:val="Textoennegrita"/>
          <w:rFonts w:ascii="Georgia" w:hAnsi="Georgia"/>
          <w:sz w:val="20"/>
          <w:szCs w:val="20"/>
        </w:rPr>
      </w:pPr>
      <w:r w:rsidRPr="00674278">
        <w:rPr>
          <w:rStyle w:val="Textoennegrita"/>
          <w:rFonts w:ascii="Georgia" w:hAnsi="Georgia"/>
          <w:sz w:val="20"/>
          <w:szCs w:val="20"/>
        </w:rPr>
        <w:lastRenderedPageBreak/>
        <w:t>Accidentes ocurridos durante la participación voluntaria del ASEGURADO como conductor o acompañante en carreras de automóviles, motocicletas, lanchas a motor o avionetas.</w:t>
      </w:r>
    </w:p>
    <w:p w14:paraId="28B1F401" w14:textId="77777777" w:rsidR="00674278" w:rsidRPr="00674278" w:rsidRDefault="00674278" w:rsidP="00674278">
      <w:pPr>
        <w:pStyle w:val="NormalWeb"/>
        <w:numPr>
          <w:ilvl w:val="0"/>
          <w:numId w:val="13"/>
        </w:numPr>
        <w:spacing w:before="0" w:beforeAutospacing="0" w:after="0" w:afterAutospacing="0"/>
        <w:ind w:left="426" w:right="193" w:hanging="426"/>
        <w:rPr>
          <w:rStyle w:val="Textoennegrita"/>
          <w:rFonts w:ascii="Georgia" w:hAnsi="Georgia"/>
          <w:sz w:val="20"/>
          <w:szCs w:val="20"/>
        </w:rPr>
      </w:pPr>
      <w:r w:rsidRPr="00674278">
        <w:rPr>
          <w:rStyle w:val="Textoennegrita"/>
          <w:rFonts w:ascii="Georgia" w:hAnsi="Georgia"/>
          <w:sz w:val="20"/>
          <w:szCs w:val="20"/>
        </w:rPr>
        <w:t xml:space="preserve">Accidentes ocurridos durante la práctica de los siguientes deportes de alto riesgo: buceo, caza submarina, canotaje, escalamiento de montañas y cuevas, </w:t>
      </w:r>
      <w:proofErr w:type="spellStart"/>
      <w:r w:rsidRPr="00674278">
        <w:rPr>
          <w:rStyle w:val="Textoennegrita"/>
          <w:rFonts w:ascii="Georgia" w:hAnsi="Georgia"/>
          <w:sz w:val="20"/>
          <w:szCs w:val="20"/>
        </w:rPr>
        <w:t>puenting</w:t>
      </w:r>
      <w:proofErr w:type="spellEnd"/>
      <w:r w:rsidRPr="00674278">
        <w:rPr>
          <w:rStyle w:val="Textoennegrita"/>
          <w:rFonts w:ascii="Georgia" w:hAnsi="Georgia"/>
          <w:sz w:val="20"/>
          <w:szCs w:val="20"/>
        </w:rPr>
        <w:t>, paracaidismo, parapente, ala delta, boxeo y deportes ecuestres.</w:t>
      </w:r>
    </w:p>
    <w:p w14:paraId="4DEA8B2D" w14:textId="77777777" w:rsidR="00E53174" w:rsidRDefault="00674278" w:rsidP="00674278">
      <w:pPr>
        <w:pStyle w:val="NormalWeb"/>
        <w:numPr>
          <w:ilvl w:val="0"/>
          <w:numId w:val="13"/>
        </w:numPr>
        <w:spacing w:before="0" w:beforeAutospacing="0" w:after="0" w:afterAutospacing="0"/>
        <w:ind w:left="426" w:right="193" w:hanging="426"/>
        <w:rPr>
          <w:rStyle w:val="Textoennegrita"/>
          <w:rFonts w:ascii="Georgia" w:hAnsi="Georgia"/>
          <w:sz w:val="20"/>
          <w:szCs w:val="20"/>
        </w:rPr>
      </w:pPr>
      <w:r w:rsidRPr="00674278">
        <w:rPr>
          <w:rStyle w:val="Textoennegrita"/>
          <w:rFonts w:ascii="Georgia" w:hAnsi="Georgia"/>
          <w:sz w:val="20"/>
          <w:szCs w:val="20"/>
        </w:rPr>
        <w:t>Accidentes ocurridos durante el desempeño de las siguientes actividades de alto riesgo: piloto, tripulante de avión, trabajo en minas de socavón, trabajo en torres o con líneas de alta tensión, manejo de explosivos o sustancias químicas, construcción, pesca, y miembros de las Fuerzas Armadas o Policiales.</w:t>
      </w:r>
    </w:p>
    <w:p w14:paraId="39EA1BC2" w14:textId="77777777" w:rsidR="00E53174" w:rsidRDefault="00E53174" w:rsidP="00E53174">
      <w:pPr>
        <w:pStyle w:val="NormalWeb"/>
        <w:spacing w:before="0" w:beforeAutospacing="0" w:after="0" w:afterAutospacing="0"/>
        <w:ind w:right="191"/>
        <w:rPr>
          <w:rStyle w:val="Textoennegrita"/>
          <w:rFonts w:ascii="Georgia" w:hAnsi="Georgia"/>
          <w:sz w:val="20"/>
          <w:szCs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647"/>
      </w:tblGrid>
      <w:tr w:rsidR="00E53174" w:rsidRPr="00E53174" w14:paraId="25566CE5" w14:textId="77777777" w:rsidTr="009A785D">
        <w:tc>
          <w:tcPr>
            <w:tcW w:w="8647" w:type="dxa"/>
            <w:shd w:val="clear" w:color="auto" w:fill="01C1D6"/>
          </w:tcPr>
          <w:p w14:paraId="6537B638" w14:textId="77777777" w:rsidR="00E53174" w:rsidRPr="00E53174" w:rsidRDefault="00E53174" w:rsidP="00E53174">
            <w:pPr>
              <w:spacing w:line="228" w:lineRule="auto"/>
              <w:ind w:right="282"/>
              <w:jc w:val="left"/>
              <w:rPr>
                <w:rFonts w:ascii="Georgia" w:hAnsi="Georgia" w:cs="Arial"/>
                <w:b/>
                <w:color w:val="FFFFFF" w:themeColor="background1"/>
                <w:sz w:val="20"/>
              </w:rPr>
            </w:pPr>
            <w:r>
              <w:rPr>
                <w:rFonts w:ascii="Georgia" w:hAnsi="Georgia" w:cs="Arial"/>
                <w:b/>
                <w:color w:val="FFFFFF" w:themeColor="background1"/>
                <w:sz w:val="20"/>
              </w:rPr>
              <w:t>Artículo 3</w:t>
            </w:r>
            <w:r w:rsidRPr="00E53174">
              <w:rPr>
                <w:rFonts w:ascii="Georgia" w:hAnsi="Georgia" w:cs="Arial"/>
                <w:b/>
                <w:color w:val="FFFFFF" w:themeColor="background1"/>
                <w:sz w:val="20"/>
              </w:rPr>
              <w:t xml:space="preserve">°     </w:t>
            </w:r>
            <w:r>
              <w:rPr>
                <w:rFonts w:ascii="Georgia" w:hAnsi="Georgia" w:cs="Arial"/>
                <w:b/>
                <w:color w:val="FFFFFF" w:themeColor="background1"/>
                <w:sz w:val="20"/>
              </w:rPr>
              <w:t>Aviso del Siniestro y Procedimiento para Solicitar la Cobertura</w:t>
            </w:r>
          </w:p>
        </w:tc>
      </w:tr>
    </w:tbl>
    <w:p w14:paraId="7F9C4BE7" w14:textId="77777777" w:rsidR="00E53174" w:rsidRDefault="00E53174" w:rsidP="00E53174">
      <w:pPr>
        <w:pStyle w:val="NormalWeb"/>
        <w:spacing w:before="0" w:beforeAutospacing="0" w:after="0" w:afterAutospacing="0"/>
        <w:ind w:right="191"/>
        <w:rPr>
          <w:rStyle w:val="Textoennegrita"/>
          <w:rFonts w:ascii="Georgia" w:hAnsi="Georgia"/>
          <w:sz w:val="20"/>
          <w:szCs w:val="20"/>
        </w:rPr>
      </w:pPr>
    </w:p>
    <w:p w14:paraId="2A18DE65" w14:textId="77777777" w:rsidR="00674278" w:rsidRPr="00674278" w:rsidRDefault="00674278" w:rsidP="00674278">
      <w:pPr>
        <w:pStyle w:val="NormalWeb"/>
        <w:spacing w:before="0" w:beforeAutospacing="0" w:after="0" w:afterAutospacing="0"/>
        <w:ind w:right="193"/>
        <w:rPr>
          <w:rStyle w:val="Textoennegrita"/>
          <w:rFonts w:ascii="Georgia" w:hAnsi="Georgia"/>
          <w:sz w:val="20"/>
          <w:szCs w:val="20"/>
        </w:rPr>
      </w:pPr>
      <w:r w:rsidRPr="00674278">
        <w:rPr>
          <w:rStyle w:val="Textoennegrita"/>
          <w:rFonts w:ascii="Georgia" w:hAnsi="Georgia"/>
          <w:sz w:val="20"/>
          <w:szCs w:val="20"/>
        </w:rPr>
        <w:t>Si ocurriera un evento que diera lugar a una solicitud de cobertura bajo esta Cláusula Adicional, el ASEGURADO deberá cumplir con lo siguiente:</w:t>
      </w:r>
    </w:p>
    <w:p w14:paraId="17189DBD" w14:textId="77777777" w:rsidR="00674278" w:rsidRPr="00674278" w:rsidRDefault="00674278" w:rsidP="00674278">
      <w:pPr>
        <w:pStyle w:val="NormalWeb"/>
        <w:spacing w:before="0" w:beforeAutospacing="0" w:after="0" w:afterAutospacing="0"/>
        <w:ind w:right="193"/>
        <w:rPr>
          <w:rStyle w:val="Textoennegrita"/>
          <w:rFonts w:ascii="Georgia" w:hAnsi="Georgia"/>
          <w:sz w:val="20"/>
          <w:szCs w:val="20"/>
        </w:rPr>
      </w:pPr>
    </w:p>
    <w:p w14:paraId="2668155B" w14:textId="77777777" w:rsidR="00674278" w:rsidRPr="00674278" w:rsidRDefault="00674278" w:rsidP="00674278">
      <w:pPr>
        <w:pStyle w:val="NormalWeb"/>
        <w:spacing w:before="0" w:beforeAutospacing="0" w:after="0" w:afterAutospacing="0"/>
        <w:ind w:right="193"/>
        <w:rPr>
          <w:rStyle w:val="Textoennegrita"/>
          <w:rFonts w:ascii="Georgia" w:hAnsi="Georgia"/>
          <w:sz w:val="20"/>
          <w:szCs w:val="20"/>
        </w:rPr>
      </w:pPr>
      <w:r w:rsidRPr="00674278">
        <w:rPr>
          <w:rStyle w:val="Textoennegrita"/>
          <w:rFonts w:ascii="Georgia" w:hAnsi="Georgia"/>
          <w:sz w:val="20"/>
          <w:szCs w:val="20"/>
          <w:u w:val="single"/>
        </w:rPr>
        <w:t>Aviso</w:t>
      </w:r>
      <w:r w:rsidRPr="00674278">
        <w:rPr>
          <w:rStyle w:val="Textoennegrita"/>
          <w:rFonts w:ascii="Georgia" w:hAnsi="Georgia"/>
          <w:sz w:val="20"/>
          <w:szCs w:val="20"/>
        </w:rPr>
        <w:t>: Dar aviso a la COMPAÑÍA por cualquiera de los medios de comunicación pactados, de la ocurrencia del siniestro, en un plazo no mayor a treinta (30) días calendario luego de ocurrido el suceso, o de haber tomado conocimiento del beneficio, o después de dicho plazo, tan pronto como sea posible, siempre y cuando el retraso obedezca a motivos de fuerza mayor, caso fortuito o imposibilidad de hecho.</w:t>
      </w:r>
    </w:p>
    <w:p w14:paraId="020818A8" w14:textId="77777777" w:rsidR="00674278" w:rsidRPr="00674278" w:rsidRDefault="00674278" w:rsidP="00674278">
      <w:pPr>
        <w:pStyle w:val="NormalWeb"/>
        <w:spacing w:before="0" w:beforeAutospacing="0" w:after="0" w:afterAutospacing="0"/>
        <w:ind w:right="193"/>
        <w:rPr>
          <w:rStyle w:val="Textoennegrita"/>
          <w:rFonts w:ascii="Georgia" w:hAnsi="Georgia"/>
          <w:sz w:val="20"/>
          <w:szCs w:val="20"/>
        </w:rPr>
      </w:pPr>
    </w:p>
    <w:p w14:paraId="0BA69B48" w14:textId="77777777" w:rsidR="00674278" w:rsidRPr="00674278" w:rsidRDefault="00674278" w:rsidP="00674278">
      <w:pPr>
        <w:pStyle w:val="NormalWeb"/>
        <w:spacing w:before="0" w:beforeAutospacing="0" w:after="0" w:afterAutospacing="0"/>
        <w:ind w:right="193"/>
        <w:rPr>
          <w:rStyle w:val="Textoennegrita"/>
          <w:rFonts w:ascii="Georgia" w:hAnsi="Georgia"/>
          <w:sz w:val="20"/>
          <w:szCs w:val="20"/>
        </w:rPr>
      </w:pPr>
      <w:r w:rsidRPr="00674278">
        <w:rPr>
          <w:rStyle w:val="Textoennegrita"/>
          <w:rFonts w:ascii="Georgia" w:hAnsi="Georgia"/>
          <w:sz w:val="20"/>
          <w:szCs w:val="20"/>
          <w:u w:val="single"/>
        </w:rPr>
        <w:t>Documentos</w:t>
      </w:r>
      <w:r w:rsidRPr="00674278">
        <w:rPr>
          <w:rStyle w:val="Textoennegrita"/>
          <w:rFonts w:ascii="Georgia" w:hAnsi="Georgia"/>
          <w:sz w:val="20"/>
          <w:szCs w:val="20"/>
        </w:rPr>
        <w:t>: Posteriormente, para la Solicitud de Cobertura, deberá presentar en las oficinas de la COMPAÑÍA los siguientes documentos en certificación de reproducción notarial (antes copia legalizada). El ASEGURADO podrá presentar los documentos en cualquier momento, sin plazo límite específico, pero antes del plazo de prescripción establecido por la normatividad vigente:</w:t>
      </w:r>
    </w:p>
    <w:p w14:paraId="119FE01E" w14:textId="77777777" w:rsidR="00674278" w:rsidRPr="00674278" w:rsidRDefault="00674278" w:rsidP="00674278">
      <w:pPr>
        <w:pStyle w:val="NormalWeb"/>
        <w:spacing w:before="0" w:beforeAutospacing="0" w:after="0" w:afterAutospacing="0"/>
        <w:ind w:right="193"/>
        <w:rPr>
          <w:rStyle w:val="Textoennegrita"/>
          <w:rFonts w:ascii="Georgia" w:hAnsi="Georgia"/>
          <w:sz w:val="20"/>
          <w:szCs w:val="20"/>
        </w:rPr>
      </w:pPr>
    </w:p>
    <w:p w14:paraId="3D65A9E5" w14:textId="77777777" w:rsidR="00674278" w:rsidRPr="00674278" w:rsidRDefault="00674278" w:rsidP="00674278">
      <w:pPr>
        <w:pStyle w:val="NormalWeb"/>
        <w:numPr>
          <w:ilvl w:val="0"/>
          <w:numId w:val="15"/>
        </w:numPr>
        <w:spacing w:before="0" w:beforeAutospacing="0" w:after="0" w:afterAutospacing="0"/>
        <w:ind w:left="426" w:right="193" w:hanging="426"/>
        <w:rPr>
          <w:rStyle w:val="Textoennegrita"/>
          <w:rFonts w:ascii="Georgia" w:hAnsi="Georgia"/>
          <w:sz w:val="20"/>
          <w:szCs w:val="20"/>
        </w:rPr>
      </w:pPr>
      <w:r w:rsidRPr="00674278">
        <w:rPr>
          <w:rStyle w:val="Textoennegrita"/>
          <w:rFonts w:ascii="Georgia" w:hAnsi="Georgia"/>
          <w:sz w:val="20"/>
          <w:szCs w:val="20"/>
        </w:rPr>
        <w:t>DNI del Asegurado</w:t>
      </w:r>
    </w:p>
    <w:p w14:paraId="003379F8" w14:textId="77777777" w:rsidR="00674278" w:rsidRPr="00674278" w:rsidRDefault="00674278" w:rsidP="00674278">
      <w:pPr>
        <w:pStyle w:val="NormalWeb"/>
        <w:numPr>
          <w:ilvl w:val="0"/>
          <w:numId w:val="15"/>
        </w:numPr>
        <w:spacing w:before="0" w:beforeAutospacing="0" w:after="0" w:afterAutospacing="0"/>
        <w:ind w:left="426" w:right="193" w:hanging="426"/>
        <w:rPr>
          <w:rStyle w:val="Textoennegrita"/>
          <w:rFonts w:ascii="Georgia" w:hAnsi="Georgia"/>
          <w:sz w:val="20"/>
          <w:szCs w:val="20"/>
        </w:rPr>
      </w:pPr>
      <w:r w:rsidRPr="00674278">
        <w:rPr>
          <w:rStyle w:val="Textoennegrita"/>
          <w:rFonts w:ascii="Georgia" w:hAnsi="Georgia"/>
          <w:sz w:val="20"/>
          <w:szCs w:val="20"/>
        </w:rPr>
        <w:t>Historia Clínica del Asegurado, en donde se pueda observar la fecha de configuración de la invalidez, en caso se solicitará esta cobertura.</w:t>
      </w:r>
    </w:p>
    <w:p w14:paraId="51DACAB4" w14:textId="77777777" w:rsidR="00674278" w:rsidRPr="00674278" w:rsidRDefault="00674278" w:rsidP="00674278">
      <w:pPr>
        <w:pStyle w:val="NormalWeb"/>
        <w:numPr>
          <w:ilvl w:val="0"/>
          <w:numId w:val="15"/>
        </w:numPr>
        <w:spacing w:before="0" w:beforeAutospacing="0" w:after="0" w:afterAutospacing="0"/>
        <w:ind w:left="426" w:right="193" w:hanging="426"/>
        <w:rPr>
          <w:rStyle w:val="Textoennegrita"/>
          <w:rFonts w:ascii="Georgia" w:hAnsi="Georgia"/>
          <w:sz w:val="20"/>
          <w:szCs w:val="20"/>
        </w:rPr>
      </w:pPr>
      <w:r w:rsidRPr="00674278">
        <w:rPr>
          <w:rStyle w:val="Textoennegrita"/>
          <w:rFonts w:ascii="Georgia" w:hAnsi="Georgia"/>
          <w:sz w:val="20"/>
          <w:szCs w:val="20"/>
        </w:rPr>
        <w:t>Certificado de Invalidez, expedido por la autoridad competente (MINSA, EsSalud, AFP, INR, cualquiera de ellos), que establezca la pérdida total del órgano o miembro lesionado y la fecha de la configuración de la invalidez.</w:t>
      </w:r>
    </w:p>
    <w:p w14:paraId="519F2A4A" w14:textId="77777777" w:rsidR="00674278" w:rsidRPr="00674278" w:rsidRDefault="00674278" w:rsidP="00674278">
      <w:pPr>
        <w:pStyle w:val="NormalWeb"/>
        <w:numPr>
          <w:ilvl w:val="0"/>
          <w:numId w:val="15"/>
        </w:numPr>
        <w:spacing w:before="0" w:beforeAutospacing="0" w:after="0" w:afterAutospacing="0"/>
        <w:ind w:left="426" w:right="193" w:hanging="426"/>
        <w:rPr>
          <w:rStyle w:val="Textoennegrita"/>
          <w:rFonts w:ascii="Georgia" w:hAnsi="Georgia"/>
          <w:sz w:val="20"/>
          <w:szCs w:val="20"/>
        </w:rPr>
      </w:pPr>
      <w:r w:rsidRPr="00674278">
        <w:rPr>
          <w:rStyle w:val="Textoennegrita"/>
          <w:rFonts w:ascii="Georgia" w:hAnsi="Georgia"/>
          <w:sz w:val="20"/>
          <w:szCs w:val="20"/>
        </w:rPr>
        <w:t>El Atestado o Informe policial completo, en caso corresponda.</w:t>
      </w:r>
    </w:p>
    <w:p w14:paraId="62264B5F" w14:textId="77777777" w:rsidR="00674278" w:rsidRPr="00674278" w:rsidRDefault="00674278" w:rsidP="00674278">
      <w:pPr>
        <w:pStyle w:val="NormalWeb"/>
        <w:spacing w:before="0" w:beforeAutospacing="0" w:after="0" w:afterAutospacing="0"/>
        <w:ind w:right="193"/>
        <w:rPr>
          <w:rStyle w:val="Textoennegrita"/>
          <w:rFonts w:ascii="Georgia" w:hAnsi="Georgia"/>
          <w:sz w:val="20"/>
          <w:szCs w:val="20"/>
        </w:rPr>
      </w:pPr>
    </w:p>
    <w:p w14:paraId="72266A54" w14:textId="77777777" w:rsidR="00674278" w:rsidRPr="00674278" w:rsidRDefault="00674278" w:rsidP="00674278">
      <w:pPr>
        <w:pStyle w:val="NormalWeb"/>
        <w:spacing w:before="0" w:beforeAutospacing="0" w:after="0" w:afterAutospacing="0"/>
        <w:ind w:right="193"/>
        <w:rPr>
          <w:rStyle w:val="Textoennegrita"/>
          <w:rFonts w:ascii="Georgia" w:hAnsi="Georgia"/>
          <w:sz w:val="20"/>
          <w:szCs w:val="20"/>
        </w:rPr>
      </w:pPr>
      <w:r w:rsidRPr="00674278">
        <w:rPr>
          <w:rStyle w:val="Textoennegrita"/>
          <w:rFonts w:ascii="Georgia" w:hAnsi="Georgia"/>
          <w:sz w:val="20"/>
          <w:szCs w:val="20"/>
        </w:rPr>
        <w:t xml:space="preserve">La COMPAÑÍA tendrá un plazo máximo de treinta (30) días contados desde la recepción completa de los documentos antes indicados, para aprobar o rechazar la solicitud de cobertura; salvo que solicite una prórroga al CONTRATANTE y/o ASEGURADO para realizar nuevas investigaciones y obtener evidencias relacionadas con el siniestro. </w:t>
      </w:r>
      <w:proofErr w:type="gramStart"/>
      <w:r w:rsidRPr="00674278">
        <w:rPr>
          <w:rStyle w:val="Textoennegrita"/>
          <w:rFonts w:ascii="Georgia" w:hAnsi="Georgia"/>
          <w:sz w:val="20"/>
          <w:szCs w:val="20"/>
        </w:rPr>
        <w:t>En caso que</w:t>
      </w:r>
      <w:proofErr w:type="gramEnd"/>
      <w:r w:rsidRPr="00674278">
        <w:rPr>
          <w:rStyle w:val="Textoennegrita"/>
          <w:rFonts w:ascii="Georgia" w:hAnsi="Georgia"/>
          <w:sz w:val="20"/>
          <w:szCs w:val="20"/>
        </w:rPr>
        <w:t xml:space="preserve"> el CONTRATANTE y/o ASEGURADO no apruebe la solicitud de prórroga presentada por la COMPAÑÍA, ésta se sujetará al procedimiento establecido para tal efecto en el TUPA de la Superintendencia de Banca, Seguros y </w:t>
      </w:r>
      <w:proofErr w:type="spellStart"/>
      <w:r w:rsidRPr="00674278">
        <w:rPr>
          <w:rStyle w:val="Textoennegrita"/>
          <w:rFonts w:ascii="Georgia" w:hAnsi="Georgia"/>
          <w:sz w:val="20"/>
          <w:szCs w:val="20"/>
        </w:rPr>
        <w:t>AFP’s</w:t>
      </w:r>
      <w:proofErr w:type="spellEnd"/>
      <w:r w:rsidRPr="00674278">
        <w:rPr>
          <w:rStyle w:val="Textoennegrita"/>
          <w:rFonts w:ascii="Georgia" w:hAnsi="Georgia"/>
          <w:sz w:val="20"/>
          <w:szCs w:val="20"/>
        </w:rPr>
        <w:t>.</w:t>
      </w:r>
    </w:p>
    <w:p w14:paraId="46CA0B28" w14:textId="77777777" w:rsidR="00674278" w:rsidRPr="00674278" w:rsidRDefault="00674278" w:rsidP="00674278">
      <w:pPr>
        <w:pStyle w:val="NormalWeb"/>
        <w:spacing w:before="0" w:beforeAutospacing="0" w:after="0" w:afterAutospacing="0"/>
        <w:ind w:right="193"/>
        <w:rPr>
          <w:rStyle w:val="Textoennegrita"/>
          <w:rFonts w:ascii="Georgia" w:hAnsi="Georgia"/>
          <w:sz w:val="20"/>
          <w:szCs w:val="20"/>
        </w:rPr>
      </w:pPr>
    </w:p>
    <w:p w14:paraId="501AD413" w14:textId="77777777" w:rsidR="00674278" w:rsidRPr="00674278" w:rsidRDefault="00674278" w:rsidP="00674278">
      <w:pPr>
        <w:pStyle w:val="NormalWeb"/>
        <w:spacing w:before="0" w:beforeAutospacing="0" w:after="0" w:afterAutospacing="0"/>
        <w:ind w:right="193"/>
        <w:rPr>
          <w:rStyle w:val="Textoennegrita"/>
          <w:rFonts w:ascii="Georgia" w:hAnsi="Georgia"/>
          <w:sz w:val="20"/>
          <w:szCs w:val="20"/>
        </w:rPr>
      </w:pPr>
      <w:r w:rsidRPr="00674278">
        <w:rPr>
          <w:rStyle w:val="Textoennegrita"/>
          <w:rFonts w:ascii="Georgia" w:hAnsi="Georgia"/>
          <w:sz w:val="20"/>
          <w:szCs w:val="20"/>
        </w:rPr>
        <w:t xml:space="preserve">En caso que la COMPAÑÍA requiera aclaraciones o precisiones adicionales, respecto a la documentación e información presentada, la COMPAÑÍA podrá realizar tal requerimiento dentro de los primeros veinte (20) días de recibida la documentación completa presentada para la solicitud de cobertura, lo que suspenderá </w:t>
      </w:r>
      <w:proofErr w:type="gramStart"/>
      <w:r w:rsidRPr="00674278">
        <w:rPr>
          <w:rStyle w:val="Textoennegrita"/>
          <w:rFonts w:ascii="Georgia" w:hAnsi="Georgia"/>
          <w:sz w:val="20"/>
          <w:szCs w:val="20"/>
        </w:rPr>
        <w:t>el  plazo</w:t>
      </w:r>
      <w:proofErr w:type="gramEnd"/>
      <w:r w:rsidRPr="00674278">
        <w:rPr>
          <w:rStyle w:val="Textoennegrita"/>
          <w:rFonts w:ascii="Georgia" w:hAnsi="Georgia"/>
          <w:sz w:val="20"/>
          <w:szCs w:val="20"/>
        </w:rPr>
        <w:t xml:space="preserve"> de aprobación o rechazo hasta la presentación de la documentación e información correspondiente.</w:t>
      </w:r>
    </w:p>
    <w:p w14:paraId="3046AEE0" w14:textId="77777777" w:rsidR="00674278" w:rsidRPr="00674278" w:rsidRDefault="00674278" w:rsidP="00674278">
      <w:pPr>
        <w:pStyle w:val="NormalWeb"/>
        <w:spacing w:before="0" w:beforeAutospacing="0" w:after="0" w:afterAutospacing="0"/>
        <w:ind w:right="193"/>
        <w:rPr>
          <w:rStyle w:val="Textoennegrita"/>
          <w:rFonts w:ascii="Georgia" w:hAnsi="Georgia"/>
          <w:sz w:val="20"/>
          <w:szCs w:val="20"/>
        </w:rPr>
      </w:pPr>
    </w:p>
    <w:p w14:paraId="22AF9647" w14:textId="77777777" w:rsidR="00674278" w:rsidRPr="00674278" w:rsidRDefault="00674278" w:rsidP="00674278">
      <w:pPr>
        <w:pStyle w:val="NormalWeb"/>
        <w:spacing w:before="0" w:beforeAutospacing="0" w:after="0" w:afterAutospacing="0"/>
        <w:ind w:right="193"/>
        <w:rPr>
          <w:rStyle w:val="Textoennegrita"/>
          <w:rFonts w:ascii="Georgia" w:hAnsi="Georgia"/>
          <w:sz w:val="20"/>
          <w:szCs w:val="20"/>
        </w:rPr>
      </w:pPr>
      <w:r w:rsidRPr="00674278">
        <w:rPr>
          <w:rStyle w:val="Textoennegrita"/>
          <w:rFonts w:ascii="Georgia" w:hAnsi="Georgia"/>
          <w:sz w:val="20"/>
          <w:szCs w:val="20"/>
        </w:rPr>
        <w:t>El plazo de veinte (20) días antes indicado se encuentra dentro de los treinta (30) días con el que cuenta La Aseguradora para pronunciarse sobre la aprobación o rechazo de la solicitud de cobertura.</w:t>
      </w:r>
    </w:p>
    <w:p w14:paraId="4524DF89" w14:textId="77777777" w:rsidR="00674278" w:rsidRPr="00674278" w:rsidRDefault="00674278" w:rsidP="00674278">
      <w:pPr>
        <w:pStyle w:val="NormalWeb"/>
        <w:spacing w:before="0" w:beforeAutospacing="0" w:after="0" w:afterAutospacing="0"/>
        <w:ind w:right="193"/>
        <w:rPr>
          <w:rStyle w:val="Textoennegrita"/>
          <w:rFonts w:ascii="Georgia" w:hAnsi="Georgia"/>
          <w:sz w:val="20"/>
          <w:szCs w:val="20"/>
        </w:rPr>
      </w:pPr>
    </w:p>
    <w:p w14:paraId="32A05806" w14:textId="77777777" w:rsidR="00DC2568" w:rsidRPr="00E53174" w:rsidRDefault="00674278" w:rsidP="00674278">
      <w:pPr>
        <w:pStyle w:val="NormalWeb"/>
        <w:spacing w:before="0" w:beforeAutospacing="0" w:after="0" w:afterAutospacing="0"/>
        <w:ind w:right="193"/>
        <w:rPr>
          <w:rFonts w:ascii="Georgia" w:hAnsi="Georgia"/>
          <w:sz w:val="20"/>
        </w:rPr>
      </w:pPr>
      <w:r w:rsidRPr="00674278">
        <w:rPr>
          <w:rStyle w:val="Textoennegrita"/>
          <w:rFonts w:ascii="Georgia" w:hAnsi="Georgia"/>
          <w:sz w:val="20"/>
          <w:szCs w:val="20"/>
        </w:rPr>
        <w:lastRenderedPageBreak/>
        <w:t>Si la solicitud de cobertura fuese aprobada por La COMPAÑÍA o hubiese transcurrido el plazo de treinta (30) días sin pronunciamiento por parte de la COMPAÑÍA o, de ser el caso, la correspondiente prórroga, se pagará el beneficio dentro de los treinta (30) días calendarios siguientes.</w:t>
      </w:r>
    </w:p>
    <w:sectPr w:rsidR="00DC2568" w:rsidRPr="00E53174">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News Gothic Euro">
    <w:altName w:val="Courier New"/>
    <w:charset w:val="00"/>
    <w:family w:val="auto"/>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6191C"/>
    <w:multiLevelType w:val="multilevel"/>
    <w:tmpl w:val="62D02EB0"/>
    <w:lvl w:ilvl="0">
      <w:start w:val="1"/>
      <w:numFmt w:val="lowerLetter"/>
      <w:lvlText w:val="%1)"/>
      <w:lvlJc w:val="left"/>
      <w:pPr>
        <w:tabs>
          <w:tab w:val="num" w:pos="643"/>
        </w:tabs>
        <w:ind w:left="643"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18570C2"/>
    <w:multiLevelType w:val="hybridMultilevel"/>
    <w:tmpl w:val="5080950A"/>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8240572"/>
    <w:multiLevelType w:val="hybridMultilevel"/>
    <w:tmpl w:val="29646FDC"/>
    <w:lvl w:ilvl="0" w:tplc="2362D2D6">
      <w:start w:val="1"/>
      <w:numFmt w:val="bullet"/>
      <w:lvlText w:val="-"/>
      <w:lvlJc w:val="left"/>
      <w:pPr>
        <w:ind w:left="720" w:hanging="360"/>
      </w:pPr>
      <w:rPr>
        <w:rFonts w:ascii="Georgia" w:eastAsiaTheme="minorEastAsia" w:hAnsi="Georgia" w:cs="Times New Roman"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11145A7B"/>
    <w:multiLevelType w:val="hybridMultilevel"/>
    <w:tmpl w:val="3D2050A2"/>
    <w:lvl w:ilvl="0" w:tplc="A468D148">
      <w:start w:val="2"/>
      <w:numFmt w:val="upp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15FA5D63"/>
    <w:multiLevelType w:val="hybridMultilevel"/>
    <w:tmpl w:val="BFD87804"/>
    <w:lvl w:ilvl="0" w:tplc="2362D2D6">
      <w:start w:val="1"/>
      <w:numFmt w:val="bullet"/>
      <w:lvlText w:val="-"/>
      <w:lvlJc w:val="left"/>
      <w:pPr>
        <w:ind w:left="720" w:hanging="360"/>
      </w:pPr>
      <w:rPr>
        <w:rFonts w:ascii="Georgia" w:eastAsiaTheme="minorEastAsia" w:hAnsi="Georgia"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5" w15:restartNumberingAfterBreak="0">
    <w:nsid w:val="30653F8B"/>
    <w:multiLevelType w:val="hybridMultilevel"/>
    <w:tmpl w:val="D616C9B0"/>
    <w:lvl w:ilvl="0" w:tplc="280A0017">
      <w:start w:val="2"/>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497B3BA1"/>
    <w:multiLevelType w:val="hybridMultilevel"/>
    <w:tmpl w:val="96827482"/>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5252536C"/>
    <w:multiLevelType w:val="hybridMultilevel"/>
    <w:tmpl w:val="2F042B34"/>
    <w:lvl w:ilvl="0" w:tplc="9D821086">
      <w:start w:val="1"/>
      <w:numFmt w:val="bullet"/>
      <w:lvlText w:val=""/>
      <w:lvlJc w:val="left"/>
      <w:pPr>
        <w:ind w:left="720" w:hanging="360"/>
      </w:pPr>
      <w:rPr>
        <w:rFonts w:ascii="Symbol" w:hAnsi="Symbo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8" w15:restartNumberingAfterBreak="0">
    <w:nsid w:val="53022E8B"/>
    <w:multiLevelType w:val="hybridMultilevel"/>
    <w:tmpl w:val="98C89C2C"/>
    <w:lvl w:ilvl="0" w:tplc="280A0017">
      <w:start w:val="1"/>
      <w:numFmt w:val="lowerLetter"/>
      <w:lvlText w:val="%1)"/>
      <w:lvlJc w:val="left"/>
      <w:pPr>
        <w:ind w:left="1080" w:hanging="360"/>
      </w:pPr>
      <w:rPr>
        <w:rFonts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9" w15:restartNumberingAfterBreak="0">
    <w:nsid w:val="53B8102A"/>
    <w:multiLevelType w:val="hybridMultilevel"/>
    <w:tmpl w:val="BFBC219C"/>
    <w:lvl w:ilvl="0" w:tplc="D1345442">
      <w:start w:val="1"/>
      <w:numFmt w:val="lowerLetter"/>
      <w:lvlText w:val="%1)"/>
      <w:lvlJc w:val="left"/>
      <w:pPr>
        <w:ind w:left="870" w:hanging="51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544E7659"/>
    <w:multiLevelType w:val="hybridMultilevel"/>
    <w:tmpl w:val="A6104996"/>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1" w15:restartNumberingAfterBreak="0">
    <w:nsid w:val="55654906"/>
    <w:multiLevelType w:val="hybridMultilevel"/>
    <w:tmpl w:val="633E9D02"/>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15:restartNumberingAfterBreak="0">
    <w:nsid w:val="679E75C6"/>
    <w:multiLevelType w:val="hybridMultilevel"/>
    <w:tmpl w:val="120A4A42"/>
    <w:lvl w:ilvl="0" w:tplc="2362D2D6">
      <w:start w:val="1"/>
      <w:numFmt w:val="bullet"/>
      <w:lvlText w:val="-"/>
      <w:lvlJc w:val="left"/>
      <w:pPr>
        <w:ind w:left="720" w:hanging="360"/>
      </w:pPr>
      <w:rPr>
        <w:rFonts w:ascii="Georgia" w:eastAsiaTheme="minorEastAsia" w:hAnsi="Georgia"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3" w15:restartNumberingAfterBreak="0">
    <w:nsid w:val="6C5B22A2"/>
    <w:multiLevelType w:val="hybridMultilevel"/>
    <w:tmpl w:val="0BA40814"/>
    <w:lvl w:ilvl="0" w:tplc="2362D2D6">
      <w:start w:val="1"/>
      <w:numFmt w:val="bullet"/>
      <w:lvlText w:val="-"/>
      <w:lvlJc w:val="left"/>
      <w:pPr>
        <w:ind w:left="720" w:hanging="360"/>
      </w:pPr>
      <w:rPr>
        <w:rFonts w:ascii="Georgia" w:eastAsiaTheme="minorEastAsia" w:hAnsi="Georgia" w:cs="Times New Roman"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abstractNum w:abstractNumId="14" w15:restartNumberingAfterBreak="0">
    <w:nsid w:val="6DD60633"/>
    <w:multiLevelType w:val="hybridMultilevel"/>
    <w:tmpl w:val="6A12B694"/>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5" w15:restartNumberingAfterBreak="0">
    <w:nsid w:val="7A6016BF"/>
    <w:multiLevelType w:val="singleLevel"/>
    <w:tmpl w:val="ACB8BF76"/>
    <w:lvl w:ilvl="0">
      <w:start w:val="2"/>
      <w:numFmt w:val="lowerLetter"/>
      <w:lvlText w:val="%1)"/>
      <w:lvlJc w:val="left"/>
      <w:pPr>
        <w:tabs>
          <w:tab w:val="num" w:pos="795"/>
        </w:tabs>
        <w:ind w:left="795" w:hanging="360"/>
      </w:pPr>
      <w:rPr>
        <w:rFonts w:hint="default"/>
      </w:rPr>
    </w:lvl>
  </w:abstractNum>
  <w:num w:numId="1" w16cid:durableId="297884214">
    <w:abstractNumId w:val="0"/>
  </w:num>
  <w:num w:numId="2" w16cid:durableId="456341614">
    <w:abstractNumId w:val="15"/>
  </w:num>
  <w:num w:numId="3" w16cid:durableId="1118404266">
    <w:abstractNumId w:val="3"/>
  </w:num>
  <w:num w:numId="4" w16cid:durableId="921571933">
    <w:abstractNumId w:val="5"/>
  </w:num>
  <w:num w:numId="5" w16cid:durableId="1551453731">
    <w:abstractNumId w:val="8"/>
  </w:num>
  <w:num w:numId="6" w16cid:durableId="1008215215">
    <w:abstractNumId w:val="10"/>
  </w:num>
  <w:num w:numId="7" w16cid:durableId="1293899051">
    <w:abstractNumId w:val="9"/>
  </w:num>
  <w:num w:numId="8" w16cid:durableId="1715277531">
    <w:abstractNumId w:val="7"/>
  </w:num>
  <w:num w:numId="9" w16cid:durableId="669022530">
    <w:abstractNumId w:val="13"/>
  </w:num>
  <w:num w:numId="10" w16cid:durableId="878132514">
    <w:abstractNumId w:val="4"/>
  </w:num>
  <w:num w:numId="11" w16cid:durableId="1848906094">
    <w:abstractNumId w:val="2"/>
  </w:num>
  <w:num w:numId="12" w16cid:durableId="635381691">
    <w:abstractNumId w:val="12"/>
  </w:num>
  <w:num w:numId="13" w16cid:durableId="2019581588">
    <w:abstractNumId w:val="11"/>
  </w:num>
  <w:num w:numId="14" w16cid:durableId="537817752">
    <w:abstractNumId w:val="14"/>
  </w:num>
  <w:num w:numId="15" w16cid:durableId="537201745">
    <w:abstractNumId w:val="6"/>
  </w:num>
  <w:num w:numId="16" w16cid:durableId="22872907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2578"/>
    <w:rsid w:val="00053ED5"/>
    <w:rsid w:val="00185543"/>
    <w:rsid w:val="00244204"/>
    <w:rsid w:val="00245552"/>
    <w:rsid w:val="00390163"/>
    <w:rsid w:val="003A2F11"/>
    <w:rsid w:val="00415D72"/>
    <w:rsid w:val="00562578"/>
    <w:rsid w:val="00674278"/>
    <w:rsid w:val="0072073A"/>
    <w:rsid w:val="00864D9D"/>
    <w:rsid w:val="00867C13"/>
    <w:rsid w:val="00945D8B"/>
    <w:rsid w:val="009A78CB"/>
    <w:rsid w:val="009F23A9"/>
    <w:rsid w:val="00BB418E"/>
    <w:rsid w:val="00BC46E2"/>
    <w:rsid w:val="00BD48D1"/>
    <w:rsid w:val="00DC2568"/>
    <w:rsid w:val="00DD0C56"/>
    <w:rsid w:val="00E5317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3E011"/>
  <w15:docId w15:val="{705D813E-CD81-486C-A9E1-447267DE56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2578"/>
    <w:pPr>
      <w:spacing w:after="0" w:line="240" w:lineRule="auto"/>
      <w:jc w:val="both"/>
    </w:pPr>
    <w:rPr>
      <w:rFonts w:ascii="Times New Roman" w:eastAsia="Times New Roman" w:hAnsi="Times New Roman" w:cs="Times New Roman"/>
      <w:sz w:val="24"/>
      <w:szCs w:val="20"/>
      <w:lang w:val="es-ES_tradnl" w:eastAsia="es-P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independiente">
    <w:name w:val="Body Text"/>
    <w:basedOn w:val="Normal"/>
    <w:link w:val="TextoindependienteCar"/>
    <w:rsid w:val="00562578"/>
    <w:rPr>
      <w:rFonts w:ascii="Tahoma" w:hAnsi="Tahoma"/>
      <w:sz w:val="22"/>
    </w:rPr>
  </w:style>
  <w:style w:type="character" w:customStyle="1" w:styleId="TextoindependienteCar">
    <w:name w:val="Texto independiente Car"/>
    <w:basedOn w:val="Fuentedeprrafopredeter"/>
    <w:link w:val="Textoindependiente"/>
    <w:rsid w:val="00562578"/>
    <w:rPr>
      <w:rFonts w:ascii="Tahoma" w:eastAsia="Times New Roman" w:hAnsi="Tahoma" w:cs="Times New Roman"/>
      <w:szCs w:val="20"/>
      <w:lang w:val="es-ES_tradnl" w:eastAsia="es-PE"/>
    </w:rPr>
  </w:style>
  <w:style w:type="paragraph" w:styleId="Prrafodelista">
    <w:name w:val="List Paragraph"/>
    <w:basedOn w:val="Normal"/>
    <w:uiPriority w:val="34"/>
    <w:qFormat/>
    <w:rsid w:val="00DC2568"/>
    <w:pPr>
      <w:ind w:left="720"/>
      <w:contextualSpacing/>
    </w:pPr>
  </w:style>
  <w:style w:type="paragraph" w:styleId="NormalWeb">
    <w:name w:val="Normal (Web)"/>
    <w:basedOn w:val="Normal"/>
    <w:uiPriority w:val="99"/>
    <w:unhideWhenUsed/>
    <w:rsid w:val="0072073A"/>
    <w:pPr>
      <w:spacing w:before="100" w:beforeAutospacing="1" w:after="100" w:afterAutospacing="1"/>
      <w:jc w:val="left"/>
    </w:pPr>
    <w:rPr>
      <w:rFonts w:eastAsiaTheme="minorEastAsia"/>
      <w:szCs w:val="24"/>
      <w:lang w:val="es-PE"/>
    </w:rPr>
  </w:style>
  <w:style w:type="character" w:styleId="Textoennegrita">
    <w:name w:val="Strong"/>
    <w:basedOn w:val="Fuentedeprrafopredeter"/>
    <w:uiPriority w:val="22"/>
    <w:qFormat/>
    <w:rsid w:val="0072073A"/>
    <w:rPr>
      <w:b/>
      <w:bCs/>
    </w:rPr>
  </w:style>
  <w:style w:type="table" w:styleId="Tablaconcuadrcula">
    <w:name w:val="Table Grid"/>
    <w:basedOn w:val="Tablanormal"/>
    <w:uiPriority w:val="59"/>
    <w:rsid w:val="00E53174"/>
    <w:pPr>
      <w:spacing w:after="0" w:line="240" w:lineRule="auto"/>
    </w:pPr>
    <w:rPr>
      <w:rFonts w:ascii="News Gothic Euro" w:hAnsi="News Gothic Euro"/>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920</Words>
  <Characters>5066</Characters>
  <Application>Microsoft Office Word</Application>
  <DocSecurity>0</DocSecurity>
  <Lines>42</Lines>
  <Paragraphs>11</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5975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angcord0</dc:creator>
  <cp:lastModifiedBy>Menendez, Yohana</cp:lastModifiedBy>
  <cp:revision>2</cp:revision>
  <dcterms:created xsi:type="dcterms:W3CDTF">2023-11-18T02:20:00Z</dcterms:created>
  <dcterms:modified xsi:type="dcterms:W3CDTF">2023-11-18T02:20:00Z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2023-11-18T02:20:12Z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5293b022-de27-4036-a60a-ebd8add1c1c2</vt:lpwstr>
  </property>
  <property fmtid="{D5CDD505-2E9C-101B-9397-08002B2CF9AE}" pid="8" name="MSIP_Label_d35fc5bc-c9e2-44ae-bd42-5c3cbdd817bc_ContentBits">
    <vt:lpwstr>0</vt:lpwstr>
  </property>
</Properties>
</file>