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2C4BE4" w:rsidRPr="002C4BE4" w14:paraId="1B44069E" w14:textId="77777777" w:rsidTr="009A785D">
        <w:trPr>
          <w:trHeight w:val="1117"/>
        </w:trPr>
        <w:tc>
          <w:tcPr>
            <w:tcW w:w="3686" w:type="dxa"/>
            <w:shd w:val="clear" w:color="auto" w:fill="auto"/>
          </w:tcPr>
          <w:p w14:paraId="5C455A84" w14:textId="77777777" w:rsidR="002C4BE4" w:rsidRPr="002C4BE4" w:rsidRDefault="002C4BE4" w:rsidP="002C4BE4">
            <w:pPr>
              <w:spacing w:after="0" w:line="200" w:lineRule="exact"/>
              <w:rPr>
                <w:rFonts w:ascii="Georgia" w:eastAsia="Georgia" w:hAnsi="Georgia"/>
                <w:noProof/>
                <w:spacing w:val="8"/>
                <w:sz w:val="16"/>
                <w:szCs w:val="16"/>
              </w:rPr>
            </w:pPr>
            <w:r w:rsidRPr="002C4BE4">
              <w:rPr>
                <w:rFonts w:ascii="Georgia" w:eastAsia="Georgia" w:hAnsi="Georgia"/>
                <w:noProof/>
                <w:spacing w:val="8"/>
                <w:sz w:val="16"/>
                <w:szCs w:val="16"/>
              </w:rPr>
              <w:t>Chubb Seguros Perú S.A</w:t>
            </w:r>
          </w:p>
          <w:p w14:paraId="6BAE6B78" w14:textId="77777777" w:rsidR="002C4BE4" w:rsidRPr="002C4BE4" w:rsidRDefault="002C4BE4" w:rsidP="002C4BE4">
            <w:pPr>
              <w:spacing w:after="0" w:line="200" w:lineRule="exact"/>
              <w:rPr>
                <w:rFonts w:ascii="Georgia" w:eastAsia="Georgia" w:hAnsi="Georgia"/>
                <w:noProof/>
                <w:spacing w:val="8"/>
                <w:sz w:val="16"/>
                <w:szCs w:val="16"/>
              </w:rPr>
            </w:pPr>
            <w:r w:rsidRPr="002C4BE4">
              <w:rPr>
                <w:rFonts w:ascii="Georgia" w:eastAsia="Georgia" w:hAnsi="Georgia"/>
                <w:noProof/>
                <w:spacing w:val="8"/>
                <w:sz w:val="16"/>
                <w:szCs w:val="16"/>
              </w:rPr>
              <w:t>Calle Amador Merino Reyna 267, Of.402</w:t>
            </w:r>
          </w:p>
          <w:p w14:paraId="1D5DBB8E" w14:textId="77777777" w:rsidR="002C4BE4" w:rsidRPr="002C4BE4" w:rsidRDefault="002C4BE4" w:rsidP="002C4BE4">
            <w:pPr>
              <w:spacing w:after="0" w:line="200" w:lineRule="exact"/>
              <w:rPr>
                <w:rFonts w:ascii="Georgia" w:eastAsia="Georgia" w:hAnsi="Georgia"/>
                <w:noProof/>
                <w:spacing w:val="8"/>
                <w:sz w:val="16"/>
                <w:szCs w:val="16"/>
                <w:lang w:val="de-CH"/>
              </w:rPr>
            </w:pPr>
            <w:r w:rsidRPr="002C4BE4">
              <w:rPr>
                <w:rFonts w:ascii="Georgia" w:eastAsia="Georgia" w:hAnsi="Georgia"/>
                <w:noProof/>
                <w:spacing w:val="8"/>
                <w:sz w:val="16"/>
                <w:szCs w:val="16"/>
                <w:lang w:val="de-CH"/>
              </w:rPr>
              <w:t>San Isidro – Lima 27</w:t>
            </w:r>
            <w:r w:rsidRPr="002C4BE4">
              <w:rPr>
                <w:rFonts w:ascii="Georgia" w:eastAsia="Georgia" w:hAnsi="Georgia"/>
                <w:noProof/>
                <w:spacing w:val="8"/>
                <w:sz w:val="16"/>
                <w:szCs w:val="16"/>
                <w:lang w:val="de-CH"/>
              </w:rPr>
              <w:br/>
              <w:t>Perú</w:t>
            </w:r>
          </w:p>
        </w:tc>
        <w:tc>
          <w:tcPr>
            <w:tcW w:w="1985" w:type="dxa"/>
            <w:shd w:val="clear" w:color="auto" w:fill="auto"/>
          </w:tcPr>
          <w:p w14:paraId="2FF0EBDC" w14:textId="77777777" w:rsidR="002C4BE4" w:rsidRPr="002C4BE4" w:rsidRDefault="002C4BE4" w:rsidP="002C4BE4">
            <w:pPr>
              <w:spacing w:after="0" w:line="200" w:lineRule="exact"/>
              <w:ind w:left="142"/>
              <w:rPr>
                <w:rFonts w:ascii="Georgia" w:eastAsia="Georgia" w:hAnsi="Georgia"/>
                <w:noProof/>
                <w:spacing w:val="8"/>
                <w:sz w:val="16"/>
                <w:szCs w:val="16"/>
              </w:rPr>
            </w:pPr>
            <w:r w:rsidRPr="002C4BE4">
              <w:rPr>
                <w:rFonts w:ascii="Georgia" w:eastAsia="Georgia" w:hAnsi="Georgia"/>
                <w:noProof/>
                <w:spacing w:val="8"/>
                <w:sz w:val="16"/>
                <w:szCs w:val="16"/>
              </w:rPr>
              <w:t>O  (511) 417-5000</w:t>
            </w:r>
          </w:p>
          <w:p w14:paraId="48953661" w14:textId="77777777" w:rsidR="002C4BE4" w:rsidRPr="002C4BE4" w:rsidRDefault="002C4BE4" w:rsidP="002C4BE4">
            <w:pPr>
              <w:spacing w:after="0" w:line="200" w:lineRule="exact"/>
              <w:ind w:left="142"/>
              <w:rPr>
                <w:rFonts w:ascii="Georgia" w:eastAsia="Georgia" w:hAnsi="Georgia"/>
                <w:noProof/>
                <w:spacing w:val="8"/>
                <w:sz w:val="16"/>
                <w:szCs w:val="16"/>
              </w:rPr>
            </w:pPr>
            <w:r w:rsidRPr="002C4BE4">
              <w:rPr>
                <w:rFonts w:ascii="Georgia" w:eastAsia="Georgia" w:hAnsi="Georgia"/>
                <w:noProof/>
                <w:spacing w:val="8"/>
                <w:sz w:val="16"/>
                <w:szCs w:val="16"/>
              </w:rPr>
              <w:t>F   (511) 221-3313</w:t>
            </w:r>
          </w:p>
          <w:p w14:paraId="1F5410D1" w14:textId="77777777" w:rsidR="002C4BE4" w:rsidRPr="002C4BE4" w:rsidRDefault="002C4BE4" w:rsidP="002C4BE4">
            <w:pPr>
              <w:spacing w:after="0" w:line="200" w:lineRule="exact"/>
              <w:ind w:left="142"/>
              <w:rPr>
                <w:rFonts w:ascii="Georgia" w:eastAsia="Georgia" w:hAnsi="Georgia"/>
                <w:noProof/>
                <w:spacing w:val="8"/>
                <w:sz w:val="16"/>
                <w:szCs w:val="16"/>
              </w:rPr>
            </w:pPr>
            <w:r w:rsidRPr="002C4BE4">
              <w:rPr>
                <w:rFonts w:ascii="Georgia" w:eastAsia="Georgia" w:hAnsi="Georgia"/>
                <w:noProof/>
                <w:spacing w:val="8"/>
                <w:sz w:val="16"/>
                <w:szCs w:val="16"/>
              </w:rPr>
              <w:t>www.chubb.com/pe</w:t>
            </w:r>
          </w:p>
          <w:p w14:paraId="7715D2C7" w14:textId="77777777" w:rsidR="002C4BE4" w:rsidRPr="002C4BE4" w:rsidRDefault="002C4BE4" w:rsidP="002C4BE4">
            <w:pPr>
              <w:spacing w:after="0" w:line="200" w:lineRule="exact"/>
              <w:rPr>
                <w:rFonts w:ascii="Georgia" w:eastAsia="Georgia" w:hAnsi="Georgia"/>
                <w:noProof/>
                <w:spacing w:val="8"/>
                <w:sz w:val="16"/>
                <w:szCs w:val="16"/>
              </w:rPr>
            </w:pPr>
          </w:p>
        </w:tc>
      </w:tr>
    </w:tbl>
    <w:p w14:paraId="1BBEABA6" w14:textId="77777777" w:rsidR="002C4BE4" w:rsidRDefault="002C4BE4" w:rsidP="002C4BE4">
      <w:pPr>
        <w:spacing w:line="228" w:lineRule="auto"/>
        <w:rPr>
          <w:rFonts w:ascii="Arial Narrow" w:hAnsi="Arial Narrow" w:cs="Arial"/>
          <w:lang w:val="es-ES_tradnl"/>
        </w:rPr>
      </w:pPr>
      <w:r>
        <w:rPr>
          <w:rFonts w:ascii="Georgia" w:hAnsi="Georgia" w:cs="Arial"/>
          <w:b/>
          <w:bCs/>
          <w:noProof/>
          <w:sz w:val="26"/>
          <w:szCs w:val="26"/>
          <w:lang w:eastAsia="es-PE"/>
        </w:rPr>
        <w:drawing>
          <wp:anchor distT="0" distB="0" distL="114300" distR="114300" simplePos="0" relativeHeight="251659264" behindDoc="0" locked="0" layoutInCell="1" allowOverlap="1" wp14:anchorId="1ABAB266" wp14:editId="075ABFA3">
            <wp:simplePos x="0" y="0"/>
            <wp:positionH relativeFrom="column">
              <wp:posOffset>-19685</wp:posOffset>
            </wp:positionH>
            <wp:positionV relativeFrom="paragraph">
              <wp:posOffset>-334010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CBC762" w14:textId="77777777" w:rsidR="002C4BE4" w:rsidRPr="002C4BE4" w:rsidRDefault="002C4BE4" w:rsidP="002C4BE4">
      <w:pPr>
        <w:spacing w:after="0" w:line="228" w:lineRule="auto"/>
        <w:ind w:right="191"/>
        <w:rPr>
          <w:rFonts w:ascii="Georgia" w:hAnsi="Georgia" w:cs="Arial"/>
          <w:b/>
          <w:sz w:val="20"/>
          <w:szCs w:val="20"/>
          <w:lang w:val="es-ES_tradnl"/>
        </w:rPr>
      </w:pPr>
    </w:p>
    <w:p w14:paraId="30ACF0C4" w14:textId="77777777" w:rsidR="002C4BE4" w:rsidRPr="002C4BE4" w:rsidRDefault="002C4BE4" w:rsidP="0061753C">
      <w:pPr>
        <w:spacing w:after="0" w:line="228" w:lineRule="auto"/>
        <w:ind w:right="191"/>
        <w:rPr>
          <w:rFonts w:ascii="Georgia" w:hAnsi="Georgia" w:cs="Arial"/>
          <w:b/>
          <w:sz w:val="26"/>
          <w:szCs w:val="26"/>
          <w:lang w:val="es-ES_tradnl"/>
        </w:rPr>
      </w:pPr>
      <w:r w:rsidRPr="002C4BE4">
        <w:rPr>
          <w:rFonts w:ascii="Georgia" w:hAnsi="Georgia" w:cs="Arial"/>
          <w:b/>
          <w:sz w:val="26"/>
          <w:szCs w:val="26"/>
          <w:lang w:val="es-ES_tradnl"/>
        </w:rPr>
        <w:t>Reembolso por Traslado Funerario</w:t>
      </w:r>
    </w:p>
    <w:p w14:paraId="759D53E9" w14:textId="77777777" w:rsidR="002C4BE4" w:rsidRPr="002C4BE4" w:rsidRDefault="002C4BE4" w:rsidP="0061753C">
      <w:pPr>
        <w:spacing w:after="0" w:line="228" w:lineRule="auto"/>
        <w:ind w:right="191"/>
        <w:rPr>
          <w:rFonts w:ascii="Georgia" w:hAnsi="Georgia" w:cs="Arial"/>
          <w:b/>
          <w:sz w:val="26"/>
          <w:szCs w:val="26"/>
          <w:lang w:val="es-ES_tradnl"/>
        </w:rPr>
      </w:pPr>
      <w:r w:rsidRPr="002C4BE4">
        <w:rPr>
          <w:rFonts w:ascii="Georgia" w:hAnsi="Georgia" w:cs="Arial"/>
          <w:b/>
          <w:sz w:val="26"/>
          <w:szCs w:val="26"/>
          <w:lang w:val="es-ES_tradnl"/>
        </w:rPr>
        <w:t>(Traslado de Restos Mortales)</w:t>
      </w:r>
    </w:p>
    <w:p w14:paraId="2FA90124" w14:textId="77777777" w:rsidR="002C4BE4" w:rsidRDefault="002C4BE4" w:rsidP="0061753C">
      <w:pPr>
        <w:spacing w:after="0" w:line="228" w:lineRule="auto"/>
        <w:ind w:right="191"/>
        <w:rPr>
          <w:rFonts w:ascii="Georgia" w:hAnsi="Georgia" w:cs="Arial"/>
          <w:sz w:val="20"/>
          <w:szCs w:val="20"/>
          <w:lang w:val="es-ES_tradnl"/>
        </w:rPr>
      </w:pPr>
    </w:p>
    <w:p w14:paraId="019D8059" w14:textId="77777777" w:rsidR="002C4BE4" w:rsidRPr="002C4BE4" w:rsidRDefault="002C4BE4" w:rsidP="0061753C">
      <w:pPr>
        <w:pBdr>
          <w:bottom w:val="single" w:sz="4" w:space="1" w:color="01C1D6"/>
        </w:pBdr>
        <w:spacing w:after="0" w:line="228" w:lineRule="auto"/>
        <w:ind w:right="191"/>
        <w:rPr>
          <w:rFonts w:ascii="Georgia" w:hAnsi="Georgia" w:cs="Arial"/>
          <w:b/>
          <w:sz w:val="20"/>
          <w:szCs w:val="20"/>
          <w:lang w:val="es-ES_tradnl"/>
        </w:rPr>
      </w:pPr>
      <w:r w:rsidRPr="002C4BE4">
        <w:rPr>
          <w:rFonts w:ascii="Georgia" w:hAnsi="Georgia" w:cs="Arial"/>
          <w:b/>
          <w:sz w:val="20"/>
          <w:szCs w:val="20"/>
          <w:lang w:val="es-ES_tradnl"/>
        </w:rPr>
        <w:t>Cláusula Adicional (En revisión por la SBS)</w:t>
      </w:r>
    </w:p>
    <w:p w14:paraId="125187A3" w14:textId="77777777" w:rsidR="006A05A1" w:rsidRPr="002C4BE4" w:rsidRDefault="006A05A1" w:rsidP="0061753C">
      <w:pPr>
        <w:spacing w:after="0" w:line="228" w:lineRule="auto"/>
        <w:ind w:right="191"/>
        <w:rPr>
          <w:rFonts w:ascii="Georgia" w:hAnsi="Georgia" w:cs="Arial"/>
          <w:sz w:val="20"/>
          <w:szCs w:val="20"/>
          <w:lang w:val="es-ES"/>
        </w:rPr>
      </w:pPr>
    </w:p>
    <w:p w14:paraId="5CCD3F9F" w14:textId="77777777" w:rsidR="006A05A1" w:rsidRPr="005A4A7B" w:rsidRDefault="005A4A7B" w:rsidP="005A4A7B">
      <w:pPr>
        <w:spacing w:after="0" w:line="228" w:lineRule="auto"/>
        <w:ind w:right="191"/>
        <w:rPr>
          <w:rFonts w:ascii="Georgia" w:hAnsi="Georgia" w:cs="Arial"/>
          <w:sz w:val="20"/>
          <w:szCs w:val="20"/>
          <w:lang w:val="es-ES"/>
        </w:rPr>
      </w:pPr>
      <w:r w:rsidRPr="005A4A7B">
        <w:rPr>
          <w:rFonts w:ascii="Georgia" w:hAnsi="Georgia" w:cs="Arial"/>
          <w:sz w:val="20"/>
          <w:szCs w:val="20"/>
          <w:lang w:val="es-ES"/>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490EA013" w14:textId="77777777" w:rsidR="0061753C" w:rsidRDefault="0061753C" w:rsidP="0061753C">
      <w:pPr>
        <w:spacing w:after="0" w:line="228" w:lineRule="auto"/>
        <w:ind w:right="191" w:firstLine="708"/>
        <w:rPr>
          <w:rFonts w:ascii="Georgia" w:hAnsi="Georgia" w:cs="Arial"/>
          <w:sz w:val="20"/>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647"/>
      </w:tblGrid>
      <w:tr w:rsidR="0061753C" w:rsidRPr="0061753C" w14:paraId="4BB6C246" w14:textId="77777777" w:rsidTr="0061753C">
        <w:tc>
          <w:tcPr>
            <w:tcW w:w="8647" w:type="dxa"/>
            <w:shd w:val="clear" w:color="auto" w:fill="01C1D6"/>
          </w:tcPr>
          <w:p w14:paraId="511FCAE0" w14:textId="77777777" w:rsidR="0061753C" w:rsidRPr="0061753C" w:rsidRDefault="0061753C" w:rsidP="0061753C">
            <w:pPr>
              <w:spacing w:after="0" w:line="228" w:lineRule="auto"/>
              <w:ind w:right="164"/>
              <w:rPr>
                <w:rFonts w:ascii="Georgia" w:hAnsi="Georgia" w:cs="Arial"/>
                <w:b/>
                <w:color w:val="FFFFFF"/>
                <w:sz w:val="20"/>
              </w:rPr>
            </w:pPr>
            <w:r w:rsidRPr="0061753C">
              <w:rPr>
                <w:rFonts w:ascii="Georgia" w:hAnsi="Georgia" w:cs="Arial"/>
                <w:b/>
                <w:color w:val="FFFFFF"/>
                <w:sz w:val="20"/>
              </w:rPr>
              <w:t>Artículo 1°     De</w:t>
            </w:r>
            <w:r>
              <w:rPr>
                <w:rFonts w:ascii="Georgia" w:hAnsi="Georgia" w:cs="Arial"/>
                <w:b/>
                <w:color w:val="FFFFFF"/>
                <w:sz w:val="20"/>
              </w:rPr>
              <w:t>scripción de la Cobertura</w:t>
            </w:r>
          </w:p>
        </w:tc>
      </w:tr>
    </w:tbl>
    <w:p w14:paraId="3D47DB89" w14:textId="77777777" w:rsidR="0061753C" w:rsidRPr="002C4BE4" w:rsidRDefault="0061753C" w:rsidP="0061753C">
      <w:pPr>
        <w:spacing w:after="0" w:line="228" w:lineRule="auto"/>
        <w:ind w:right="191" w:firstLine="708"/>
        <w:rPr>
          <w:rFonts w:ascii="Georgia" w:hAnsi="Georgia" w:cs="Arial"/>
          <w:sz w:val="20"/>
          <w:szCs w:val="20"/>
          <w:lang w:val="es-ES"/>
        </w:rPr>
      </w:pPr>
    </w:p>
    <w:p w14:paraId="08BDE406" w14:textId="77777777" w:rsidR="005A4A7B" w:rsidRPr="005A4A7B" w:rsidRDefault="005A4A7B" w:rsidP="005A4A7B">
      <w:pPr>
        <w:spacing w:after="0" w:line="240" w:lineRule="auto"/>
        <w:ind w:right="191"/>
        <w:rPr>
          <w:rFonts w:ascii="Georgia" w:hAnsi="Georgia" w:cs="Arial"/>
          <w:sz w:val="20"/>
          <w:szCs w:val="20"/>
          <w:lang w:val="es-CL"/>
        </w:rPr>
      </w:pPr>
      <w:r w:rsidRPr="005A4A7B">
        <w:rPr>
          <w:rFonts w:ascii="Georgia" w:hAnsi="Georgia" w:cs="Arial"/>
          <w:sz w:val="20"/>
          <w:szCs w:val="20"/>
          <w:lang w:val="es-CL"/>
        </w:rPr>
        <w:t>Artículo 1° DESCRIPCIÓN DE LA COBERTURA</w:t>
      </w:r>
    </w:p>
    <w:p w14:paraId="77E17811" w14:textId="77777777" w:rsidR="005A4A7B" w:rsidRPr="005A4A7B" w:rsidRDefault="005A4A7B" w:rsidP="005A4A7B">
      <w:pPr>
        <w:spacing w:after="0" w:line="240" w:lineRule="auto"/>
        <w:ind w:right="191"/>
        <w:rPr>
          <w:rFonts w:ascii="Georgia" w:hAnsi="Georgia" w:cs="Arial"/>
          <w:sz w:val="20"/>
          <w:szCs w:val="20"/>
          <w:lang w:val="es-CL"/>
        </w:rPr>
      </w:pPr>
      <w:r w:rsidRPr="005A4A7B">
        <w:rPr>
          <w:rFonts w:ascii="Georgia" w:hAnsi="Georgia" w:cs="Arial"/>
          <w:sz w:val="20"/>
          <w:szCs w:val="20"/>
          <w:lang w:val="es-CL"/>
        </w:rPr>
        <w:t>El pago del traslado de los restos mortales hasta el país o región nacional de residencia habitual del ASEGURADO. Esta cobertura comprende el pasaje aéreo y embalsamamiento, hasta el límite indicado en las Condiciones Particulares y/o Certificado de Seguro en caso de ser un seguro grupal.</w:t>
      </w:r>
    </w:p>
    <w:p w14:paraId="1FC825BB" w14:textId="77777777" w:rsidR="005A4A7B" w:rsidRPr="005A4A7B" w:rsidRDefault="005A4A7B" w:rsidP="005A4A7B">
      <w:pPr>
        <w:spacing w:after="0" w:line="240" w:lineRule="auto"/>
        <w:ind w:right="191"/>
        <w:rPr>
          <w:rFonts w:ascii="Georgia" w:hAnsi="Georgia" w:cs="Arial"/>
          <w:sz w:val="20"/>
          <w:szCs w:val="20"/>
          <w:lang w:val="es-CL"/>
        </w:rPr>
      </w:pPr>
      <w:r w:rsidRPr="005A4A7B">
        <w:rPr>
          <w:rFonts w:ascii="Georgia" w:hAnsi="Georgia" w:cs="Arial"/>
          <w:b/>
          <w:sz w:val="20"/>
          <w:szCs w:val="20"/>
          <w:lang w:val="es-CL"/>
        </w:rPr>
        <w:t>El ámbito territorial de la cobertura se extiende a toda provincia, departamento, país, exceptuando: Afganistán, Cuba, República Dominicana del Congo, Irán, Iraq, Liberia, Sudán o Siria o cualquier país que ingrese a la lista OFAC</w:t>
      </w:r>
      <w:r w:rsidRPr="005A4A7B">
        <w:rPr>
          <w:rFonts w:ascii="Georgia" w:hAnsi="Georgia" w:cs="Arial"/>
          <w:sz w:val="20"/>
          <w:szCs w:val="20"/>
          <w:lang w:val="es-CL"/>
        </w:rPr>
        <w:t>, en cualquiera que sea el medio de transporte utilizado. Sin perjuicio de lo anterior, se podrán excluir expresamente los hechos ocurridos directa o indirectamente como resultado de un viaje a, en o a través de otros países o territorios especificados en las CONDICIONES PARTICULARES y/o Certificado de Seguro, según corresponda.</w:t>
      </w:r>
    </w:p>
    <w:p w14:paraId="5C5C2CA8" w14:textId="77777777" w:rsidR="005A4A7B" w:rsidRPr="005A4A7B" w:rsidRDefault="005A4A7B" w:rsidP="005A4A7B">
      <w:pPr>
        <w:spacing w:after="0" w:line="240" w:lineRule="auto"/>
        <w:ind w:right="191"/>
        <w:rPr>
          <w:rFonts w:ascii="Georgia" w:hAnsi="Georgia" w:cs="Arial"/>
          <w:sz w:val="20"/>
          <w:szCs w:val="20"/>
          <w:lang w:val="es-CL"/>
        </w:rPr>
      </w:pPr>
    </w:p>
    <w:p w14:paraId="572A0BEF" w14:textId="77777777" w:rsidR="006A05A1" w:rsidRDefault="005A4A7B" w:rsidP="005A4A7B">
      <w:pPr>
        <w:spacing w:after="0" w:line="240" w:lineRule="auto"/>
        <w:ind w:right="191"/>
        <w:rPr>
          <w:rFonts w:ascii="Georgia" w:eastAsia="Arial Unicode MS" w:hAnsi="Georgia" w:cs="Arial"/>
          <w:sz w:val="20"/>
          <w:szCs w:val="20"/>
          <w:lang w:val="es-CL"/>
        </w:rPr>
      </w:pPr>
      <w:r w:rsidRPr="005A4A7B">
        <w:rPr>
          <w:rFonts w:ascii="Georgia" w:hAnsi="Georgia" w:cs="Arial"/>
          <w:sz w:val="20"/>
          <w:szCs w:val="20"/>
          <w:lang w:val="es-CL"/>
        </w:rPr>
        <w:t>Todos los ASEGURADOS deberán cumplir los requisitos de asegurabilidad establecidos en las CONDICIONES PARTICULARES y/o Certificado de Seguro, según corresponda y su ingreso será automático en la PÓLIZA. Todo ASEGURADO que no cumpla los requisitos de asegurabilidad establecidos en las CONDICIONES PARTICULARES y/o Certificado de Seguro, según corresponda, no tendrá cobertura en el presente seguro.</w:t>
      </w:r>
    </w:p>
    <w:p w14:paraId="0318C70A" w14:textId="77777777" w:rsidR="0061753C" w:rsidRDefault="0061753C" w:rsidP="0061753C">
      <w:pPr>
        <w:spacing w:after="0" w:line="240" w:lineRule="auto"/>
        <w:ind w:right="191"/>
        <w:rPr>
          <w:rFonts w:ascii="Georgia" w:eastAsia="Arial Unicode MS" w:hAnsi="Georgia" w:cs="Arial"/>
          <w:sz w:val="20"/>
          <w:szCs w:val="20"/>
          <w:lang w:val="es-C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647"/>
      </w:tblGrid>
      <w:tr w:rsidR="0061753C" w:rsidRPr="0061753C" w14:paraId="3D1C6A7E" w14:textId="77777777" w:rsidTr="009A785D">
        <w:tc>
          <w:tcPr>
            <w:tcW w:w="8647" w:type="dxa"/>
            <w:shd w:val="clear" w:color="auto" w:fill="01C1D6"/>
          </w:tcPr>
          <w:p w14:paraId="68987DBB" w14:textId="77777777" w:rsidR="0061753C" w:rsidRPr="0061753C" w:rsidRDefault="0061753C" w:rsidP="0061753C">
            <w:pPr>
              <w:spacing w:after="0" w:line="228" w:lineRule="auto"/>
              <w:ind w:right="164"/>
              <w:rPr>
                <w:rFonts w:ascii="Georgia" w:hAnsi="Georgia" w:cs="Arial"/>
                <w:b/>
                <w:color w:val="FFFFFF"/>
                <w:sz w:val="20"/>
              </w:rPr>
            </w:pPr>
            <w:r>
              <w:rPr>
                <w:rFonts w:ascii="Georgia" w:hAnsi="Georgia" w:cs="Arial"/>
                <w:b/>
                <w:color w:val="FFFFFF"/>
                <w:sz w:val="20"/>
              </w:rPr>
              <w:t>Artículo 2</w:t>
            </w:r>
            <w:r w:rsidRPr="0061753C">
              <w:rPr>
                <w:rFonts w:ascii="Georgia" w:hAnsi="Georgia" w:cs="Arial"/>
                <w:b/>
                <w:color w:val="FFFFFF"/>
                <w:sz w:val="20"/>
              </w:rPr>
              <w:t xml:space="preserve">°     </w:t>
            </w:r>
            <w:r>
              <w:rPr>
                <w:rFonts w:ascii="Georgia" w:hAnsi="Georgia" w:cs="Arial"/>
                <w:b/>
                <w:color w:val="FFFFFF"/>
                <w:sz w:val="20"/>
              </w:rPr>
              <w:t>Exclusiones</w:t>
            </w:r>
          </w:p>
        </w:tc>
      </w:tr>
    </w:tbl>
    <w:p w14:paraId="062E4269" w14:textId="77777777" w:rsidR="0061753C" w:rsidRPr="0061753C" w:rsidRDefault="0061753C" w:rsidP="0061753C">
      <w:pPr>
        <w:spacing w:after="0" w:line="240" w:lineRule="auto"/>
        <w:ind w:right="191"/>
        <w:rPr>
          <w:rFonts w:ascii="Georgia" w:eastAsia="Arial Unicode MS" w:hAnsi="Georgia" w:cs="Arial"/>
          <w:sz w:val="20"/>
          <w:szCs w:val="20"/>
        </w:rPr>
      </w:pPr>
    </w:p>
    <w:p w14:paraId="37B6796E" w14:textId="77777777" w:rsidR="005A4A7B" w:rsidRPr="005A4A7B" w:rsidRDefault="005A4A7B" w:rsidP="005A4A7B">
      <w:pPr>
        <w:spacing w:after="0" w:line="240" w:lineRule="auto"/>
        <w:ind w:right="191"/>
        <w:rPr>
          <w:rFonts w:ascii="Georgia" w:hAnsi="Georgia" w:cs="Arial"/>
          <w:b/>
          <w:sz w:val="20"/>
          <w:szCs w:val="20"/>
          <w:lang w:val="es-ES"/>
        </w:rPr>
      </w:pPr>
      <w:r w:rsidRPr="005A4A7B">
        <w:rPr>
          <w:rFonts w:ascii="Georgia" w:hAnsi="Georgia" w:cs="Arial"/>
          <w:b/>
          <w:sz w:val="20"/>
          <w:szCs w:val="20"/>
          <w:lang w:val="es-ES"/>
        </w:rPr>
        <w:t>Esta cobertura no cubre el fallecimiento del ASEGURADO si este fuere causado por:</w:t>
      </w:r>
    </w:p>
    <w:p w14:paraId="6E5D4F25" w14:textId="77777777" w:rsidR="005A4A7B" w:rsidRPr="005A4A7B" w:rsidRDefault="005A4A7B" w:rsidP="005A4A7B">
      <w:pPr>
        <w:spacing w:after="0" w:line="240" w:lineRule="auto"/>
        <w:ind w:right="191"/>
        <w:rPr>
          <w:rFonts w:ascii="Georgia" w:hAnsi="Georgia" w:cs="Arial"/>
          <w:b/>
          <w:sz w:val="20"/>
          <w:szCs w:val="20"/>
          <w:lang w:val="es-ES"/>
        </w:rPr>
      </w:pPr>
    </w:p>
    <w:p w14:paraId="0CB224A6" w14:textId="77777777" w:rsidR="005A4A7B" w:rsidRPr="005A4A7B" w:rsidRDefault="005A4A7B" w:rsidP="005A4A7B">
      <w:pPr>
        <w:numPr>
          <w:ilvl w:val="0"/>
          <w:numId w:val="2"/>
        </w:numPr>
        <w:spacing w:after="0" w:line="240" w:lineRule="auto"/>
        <w:ind w:left="426" w:right="191" w:hanging="426"/>
        <w:rPr>
          <w:rFonts w:ascii="Georgia" w:hAnsi="Georgia" w:cs="Arial"/>
          <w:b/>
          <w:sz w:val="20"/>
          <w:szCs w:val="20"/>
          <w:lang w:val="es-ES"/>
        </w:rPr>
      </w:pPr>
      <w:r w:rsidRPr="005A4A7B">
        <w:rPr>
          <w:rFonts w:ascii="Georgia" w:hAnsi="Georgia" w:cs="Arial"/>
          <w:b/>
          <w:sz w:val="20"/>
          <w:szCs w:val="20"/>
          <w:lang w:val="es-ES"/>
        </w:rPr>
        <w:t>ENFERMEDADES, CONDICIONES O LESIONES PREEXISTENTES del ASEGURADO y cualquiera de sus consecuencias, incluyendo convalecencias y alteraciones durante tratamientos que no se encuentran todavía en una etapa consolidada.</w:t>
      </w:r>
    </w:p>
    <w:p w14:paraId="29349E7E" w14:textId="77777777" w:rsidR="005A4A7B" w:rsidRPr="005A4A7B" w:rsidRDefault="005A4A7B" w:rsidP="005A4A7B">
      <w:pPr>
        <w:numPr>
          <w:ilvl w:val="0"/>
          <w:numId w:val="2"/>
        </w:numPr>
        <w:spacing w:after="0" w:line="240" w:lineRule="auto"/>
        <w:ind w:left="426" w:right="191" w:hanging="426"/>
        <w:rPr>
          <w:rFonts w:ascii="Georgia" w:hAnsi="Georgia" w:cs="Arial"/>
          <w:b/>
          <w:sz w:val="20"/>
          <w:szCs w:val="20"/>
          <w:lang w:val="es-ES"/>
        </w:rPr>
      </w:pPr>
      <w:r w:rsidRPr="005A4A7B">
        <w:rPr>
          <w:rFonts w:ascii="Georgia" w:hAnsi="Georgia" w:cs="Arial"/>
          <w:b/>
          <w:sz w:val="20"/>
          <w:szCs w:val="20"/>
          <w:lang w:val="es-ES"/>
        </w:rPr>
        <w:t xml:space="preserve">Participación en cualquier equipo deportivo profesional o semiprofesional y cualquier deporte o actividad riesgoso: que incluye: aviación privada, paracaidismo, ala delta, parapente, </w:t>
      </w:r>
      <w:proofErr w:type="spellStart"/>
      <w:r w:rsidRPr="005A4A7B">
        <w:rPr>
          <w:rFonts w:ascii="Georgia" w:hAnsi="Georgia" w:cs="Arial"/>
          <w:b/>
          <w:sz w:val="20"/>
          <w:szCs w:val="20"/>
          <w:lang w:val="es-ES"/>
        </w:rPr>
        <w:t>bungee</w:t>
      </w:r>
      <w:proofErr w:type="spellEnd"/>
      <w:r w:rsidRPr="005A4A7B">
        <w:rPr>
          <w:rFonts w:ascii="Georgia" w:hAnsi="Georgia" w:cs="Arial"/>
          <w:b/>
          <w:sz w:val="20"/>
          <w:szCs w:val="20"/>
          <w:lang w:val="es-ES"/>
        </w:rPr>
        <w:t xml:space="preserve"> jumping, alpinismo, escalada, motociclismo, artes marciales, boxeo, rodeo, rugby, equitación, polo, buceo.</w:t>
      </w:r>
    </w:p>
    <w:p w14:paraId="62B1055D" w14:textId="77777777" w:rsidR="005A4A7B" w:rsidRPr="005A4A7B" w:rsidRDefault="005A4A7B" w:rsidP="005A4A7B">
      <w:pPr>
        <w:numPr>
          <w:ilvl w:val="0"/>
          <w:numId w:val="2"/>
        </w:numPr>
        <w:spacing w:after="0" w:line="240" w:lineRule="auto"/>
        <w:ind w:left="426" w:right="191" w:hanging="426"/>
        <w:rPr>
          <w:rFonts w:ascii="Georgia" w:hAnsi="Georgia" w:cs="Arial"/>
          <w:b/>
          <w:sz w:val="20"/>
          <w:szCs w:val="20"/>
          <w:lang w:val="es-ES"/>
        </w:rPr>
      </w:pPr>
      <w:r w:rsidRPr="005A4A7B">
        <w:rPr>
          <w:rFonts w:ascii="Georgia" w:hAnsi="Georgia" w:cs="Arial"/>
          <w:b/>
          <w:sz w:val="20"/>
          <w:szCs w:val="20"/>
          <w:lang w:val="es-ES"/>
        </w:rPr>
        <w:t>Suicidio, intento de suicidio o LESIÓN intencionalmente infringida por el ASEGURADO a sí mismo.</w:t>
      </w:r>
    </w:p>
    <w:p w14:paraId="3C27A677" w14:textId="77777777" w:rsidR="005A4A7B" w:rsidRPr="005A4A7B" w:rsidRDefault="005A4A7B" w:rsidP="005A4A7B">
      <w:pPr>
        <w:numPr>
          <w:ilvl w:val="0"/>
          <w:numId w:val="2"/>
        </w:numPr>
        <w:spacing w:after="0" w:line="240" w:lineRule="auto"/>
        <w:ind w:left="426" w:right="191" w:hanging="426"/>
        <w:rPr>
          <w:rFonts w:ascii="Georgia" w:hAnsi="Georgia" w:cs="Arial"/>
          <w:b/>
          <w:sz w:val="20"/>
          <w:szCs w:val="20"/>
          <w:lang w:val="es-ES"/>
        </w:rPr>
      </w:pPr>
      <w:r w:rsidRPr="005A4A7B">
        <w:rPr>
          <w:rFonts w:ascii="Georgia" w:hAnsi="Georgia" w:cs="Arial"/>
          <w:b/>
          <w:sz w:val="20"/>
          <w:szCs w:val="20"/>
          <w:lang w:val="es-ES"/>
        </w:rPr>
        <w:t>Prestación de servicios en las fuerzas armadas o unidades auxiliares de las mismas en casos de Guerras civiles nacionales o extranjeras, motines, movimientos populares, represalias, restricciones a la libre circulación, huelgas, explosiones, misiones para la obtención o mantenimiento de la paz.</w:t>
      </w:r>
    </w:p>
    <w:p w14:paraId="5829E95D" w14:textId="77777777" w:rsidR="005A4A7B" w:rsidRPr="005A4A7B" w:rsidRDefault="005A4A7B" w:rsidP="005A4A7B">
      <w:pPr>
        <w:numPr>
          <w:ilvl w:val="0"/>
          <w:numId w:val="2"/>
        </w:numPr>
        <w:spacing w:after="0" w:line="240" w:lineRule="auto"/>
        <w:ind w:left="426" w:right="191" w:hanging="426"/>
        <w:rPr>
          <w:rFonts w:ascii="Georgia" w:hAnsi="Georgia" w:cs="Arial"/>
          <w:b/>
          <w:sz w:val="20"/>
          <w:szCs w:val="20"/>
          <w:lang w:val="es-ES"/>
        </w:rPr>
      </w:pPr>
      <w:r w:rsidRPr="005A4A7B">
        <w:rPr>
          <w:rFonts w:ascii="Georgia" w:hAnsi="Georgia" w:cs="Arial"/>
          <w:b/>
          <w:sz w:val="20"/>
          <w:szCs w:val="20"/>
          <w:lang w:val="es-ES"/>
        </w:rPr>
        <w:t>Las enfermedades epidémicas y sus consecuencias, que provengan directa o indirectamente de pandemia, ya sea que haya sido declarada por la Organización Mundial de la Salud o el organismo que lo reemplace, o bien, por la autoridad correspondiente de cualquiera de los países, localidades o regiones afectadas.</w:t>
      </w:r>
    </w:p>
    <w:p w14:paraId="5AEA6F39" w14:textId="77777777" w:rsidR="005A4A7B" w:rsidRPr="005A4A7B" w:rsidRDefault="005A4A7B" w:rsidP="005A4A7B">
      <w:pPr>
        <w:numPr>
          <w:ilvl w:val="0"/>
          <w:numId w:val="2"/>
        </w:numPr>
        <w:spacing w:after="0" w:line="240" w:lineRule="auto"/>
        <w:ind w:left="426" w:right="191" w:hanging="426"/>
        <w:rPr>
          <w:rFonts w:ascii="Georgia" w:hAnsi="Georgia" w:cs="Arial"/>
          <w:b/>
          <w:sz w:val="20"/>
          <w:szCs w:val="20"/>
          <w:lang w:val="es-ES"/>
        </w:rPr>
      </w:pPr>
      <w:r w:rsidRPr="005A4A7B">
        <w:rPr>
          <w:rFonts w:ascii="Georgia" w:hAnsi="Georgia" w:cs="Arial"/>
          <w:b/>
          <w:sz w:val="20"/>
          <w:szCs w:val="20"/>
          <w:lang w:val="es-ES"/>
        </w:rPr>
        <w:lastRenderedPageBreak/>
        <w:t xml:space="preserve">Comisión de actos calificados como delito, así como la </w:t>
      </w:r>
      <w:proofErr w:type="gramStart"/>
      <w:r w:rsidRPr="005A4A7B">
        <w:rPr>
          <w:rFonts w:ascii="Georgia" w:hAnsi="Georgia" w:cs="Arial"/>
          <w:b/>
          <w:sz w:val="20"/>
          <w:szCs w:val="20"/>
          <w:lang w:val="es-ES"/>
        </w:rPr>
        <w:t>participación activa</w:t>
      </w:r>
      <w:proofErr w:type="gramEnd"/>
      <w:r w:rsidRPr="005A4A7B">
        <w:rPr>
          <w:rFonts w:ascii="Georgia" w:hAnsi="Georgia" w:cs="Arial"/>
          <w:b/>
          <w:sz w:val="20"/>
          <w:szCs w:val="20"/>
          <w:lang w:val="es-ES"/>
        </w:rPr>
        <w:t xml:space="preserve"> en rebelión, revolución, sublevación, asonadas, motín, conmoción civil, subversión y terrorismo.</w:t>
      </w:r>
    </w:p>
    <w:p w14:paraId="6EB9C0C2" w14:textId="77777777" w:rsidR="005A4A7B" w:rsidRPr="005A4A7B" w:rsidRDefault="005A4A7B" w:rsidP="005A4A7B">
      <w:pPr>
        <w:numPr>
          <w:ilvl w:val="0"/>
          <w:numId w:val="2"/>
        </w:numPr>
        <w:spacing w:after="0" w:line="240" w:lineRule="auto"/>
        <w:ind w:left="426" w:right="191" w:hanging="426"/>
        <w:rPr>
          <w:rFonts w:ascii="Georgia" w:hAnsi="Georgia" w:cs="Arial"/>
          <w:b/>
          <w:sz w:val="20"/>
          <w:szCs w:val="20"/>
          <w:lang w:val="es-ES"/>
        </w:rPr>
      </w:pPr>
      <w:r w:rsidRPr="005A4A7B">
        <w:rPr>
          <w:rFonts w:ascii="Georgia" w:hAnsi="Georgia" w:cs="Arial"/>
          <w:b/>
          <w:sz w:val="20"/>
          <w:szCs w:val="20"/>
          <w:lang w:val="es-ES"/>
        </w:rPr>
        <w:t>Encontrarse el ASEGURADO en estado de ebriedad, o bajo los efectos de cualquier narcótico, a menos que hubiese sido administrado por prescripción médica. Estos estados deberán ser certificados por la autoridad competente.</w:t>
      </w:r>
    </w:p>
    <w:p w14:paraId="6724D79F" w14:textId="77777777" w:rsidR="005A4A7B" w:rsidRPr="005A4A7B" w:rsidRDefault="005A4A7B" w:rsidP="005A4A7B">
      <w:pPr>
        <w:numPr>
          <w:ilvl w:val="0"/>
          <w:numId w:val="2"/>
        </w:numPr>
        <w:spacing w:after="0" w:line="240" w:lineRule="auto"/>
        <w:ind w:left="426" w:right="191" w:hanging="426"/>
        <w:rPr>
          <w:rFonts w:ascii="Georgia" w:hAnsi="Georgia" w:cs="Arial"/>
          <w:b/>
          <w:sz w:val="20"/>
          <w:szCs w:val="20"/>
          <w:lang w:val="es-ES"/>
        </w:rPr>
      </w:pPr>
      <w:r w:rsidRPr="005A4A7B">
        <w:rPr>
          <w:rFonts w:ascii="Georgia" w:hAnsi="Georgia" w:cs="Arial"/>
          <w:b/>
          <w:sz w:val="20"/>
          <w:szCs w:val="20"/>
          <w:lang w:val="es-ES"/>
        </w:rPr>
        <w:t>Desempeñarse el ASEGURADO como piloto o tripulante de aviones civiles o comerciales, a menos que expresa y específicamente se prevea y acepte su cobertura por el asegurador.</w:t>
      </w:r>
    </w:p>
    <w:p w14:paraId="0B70E66D" w14:textId="77777777" w:rsidR="005A4A7B" w:rsidRPr="005A4A7B" w:rsidRDefault="005A4A7B" w:rsidP="005A4A7B">
      <w:pPr>
        <w:numPr>
          <w:ilvl w:val="0"/>
          <w:numId w:val="2"/>
        </w:numPr>
        <w:spacing w:after="0" w:line="240" w:lineRule="auto"/>
        <w:ind w:left="426" w:right="191" w:hanging="426"/>
        <w:rPr>
          <w:rFonts w:ascii="Georgia" w:hAnsi="Georgia" w:cs="Arial"/>
          <w:b/>
          <w:sz w:val="20"/>
          <w:szCs w:val="20"/>
          <w:lang w:val="es-ES"/>
        </w:rPr>
      </w:pPr>
      <w:r w:rsidRPr="005A4A7B">
        <w:rPr>
          <w:rFonts w:ascii="Georgia" w:hAnsi="Georgia" w:cs="Arial"/>
          <w:b/>
          <w:sz w:val="20"/>
          <w:szCs w:val="20"/>
          <w:lang w:val="es-ES"/>
        </w:rPr>
        <w:t>Participación en carreras, apuestas, competencias y desafíos que sean remunerados o sean la ocupación principal del asegurado.</w:t>
      </w:r>
    </w:p>
    <w:p w14:paraId="05449A26" w14:textId="77777777" w:rsidR="005A4A7B" w:rsidRPr="005A4A7B" w:rsidRDefault="005A4A7B" w:rsidP="005A4A7B">
      <w:pPr>
        <w:numPr>
          <w:ilvl w:val="0"/>
          <w:numId w:val="2"/>
        </w:numPr>
        <w:spacing w:after="0" w:line="240" w:lineRule="auto"/>
        <w:ind w:left="426" w:right="191" w:hanging="426"/>
        <w:rPr>
          <w:rFonts w:ascii="Georgia" w:hAnsi="Georgia" w:cs="Arial"/>
          <w:b/>
          <w:sz w:val="20"/>
          <w:szCs w:val="20"/>
          <w:lang w:val="es-ES"/>
        </w:rPr>
      </w:pPr>
      <w:r w:rsidRPr="005A4A7B">
        <w:rPr>
          <w:rFonts w:ascii="Georgia" w:hAnsi="Georgia" w:cs="Arial"/>
          <w:b/>
          <w:sz w:val="20"/>
          <w:szCs w:val="20"/>
          <w:lang w:val="es-ES"/>
        </w:rPr>
        <w:t>Acto delictivo cometido, en calidad de autor o cómplice, por un beneficiario o quien pudiere reclamar el monto asegurado o la indemnización.</w:t>
      </w:r>
    </w:p>
    <w:p w14:paraId="33DA6046" w14:textId="77777777" w:rsidR="005A4A7B" w:rsidRPr="005A4A7B" w:rsidRDefault="005A4A7B" w:rsidP="005A4A7B">
      <w:pPr>
        <w:numPr>
          <w:ilvl w:val="0"/>
          <w:numId w:val="2"/>
        </w:numPr>
        <w:spacing w:after="0" w:line="240" w:lineRule="auto"/>
        <w:ind w:left="426" w:right="191" w:hanging="426"/>
        <w:rPr>
          <w:rFonts w:ascii="Georgia" w:hAnsi="Georgia" w:cs="Arial"/>
          <w:b/>
          <w:sz w:val="20"/>
          <w:szCs w:val="20"/>
          <w:lang w:val="es-ES"/>
        </w:rPr>
      </w:pPr>
      <w:r w:rsidRPr="005A4A7B">
        <w:rPr>
          <w:rFonts w:ascii="Georgia" w:hAnsi="Georgia" w:cs="Arial"/>
          <w:b/>
          <w:sz w:val="20"/>
          <w:szCs w:val="20"/>
          <w:lang w:val="es-ES"/>
        </w:rPr>
        <w:t>La asistencia por servicios que el ASEGURADO haya contratado sin previa autorización de la Central de Asistencia, salvo se acredite a satisfacción de la COMPAÑÍA que por causa de fuerza mayor ha sido imposible requerir la previa autorización.</w:t>
      </w:r>
    </w:p>
    <w:p w14:paraId="5BAC274F" w14:textId="77777777" w:rsidR="005A4A7B" w:rsidRPr="005A4A7B" w:rsidRDefault="005A4A7B" w:rsidP="005A4A7B">
      <w:pPr>
        <w:numPr>
          <w:ilvl w:val="0"/>
          <w:numId w:val="2"/>
        </w:numPr>
        <w:spacing w:after="0" w:line="240" w:lineRule="auto"/>
        <w:ind w:left="426" w:right="191" w:hanging="426"/>
        <w:rPr>
          <w:rFonts w:ascii="Georgia" w:hAnsi="Georgia" w:cs="Arial"/>
          <w:b/>
          <w:sz w:val="20"/>
          <w:szCs w:val="20"/>
          <w:lang w:val="es-ES"/>
        </w:rPr>
      </w:pPr>
      <w:r w:rsidRPr="005A4A7B">
        <w:rPr>
          <w:rFonts w:ascii="Georgia" w:hAnsi="Georgia" w:cs="Arial"/>
          <w:b/>
          <w:sz w:val="20"/>
          <w:szCs w:val="20"/>
          <w:lang w:val="es-ES"/>
        </w:rPr>
        <w:t>Los gastos de asistencia médica, hospitalaria o sanitaria en que se haya incurrido fuera del territorio de cobertura según lo determinado en las Condiciones Particulares y/o Certificado de Seguro, según corresponda.</w:t>
      </w:r>
    </w:p>
    <w:p w14:paraId="766CDF48" w14:textId="77777777" w:rsidR="005A4A7B" w:rsidRPr="005A4A7B" w:rsidRDefault="005A4A7B" w:rsidP="005A4A7B">
      <w:pPr>
        <w:numPr>
          <w:ilvl w:val="0"/>
          <w:numId w:val="2"/>
        </w:numPr>
        <w:spacing w:after="0" w:line="240" w:lineRule="auto"/>
        <w:ind w:left="426" w:right="191" w:hanging="426"/>
        <w:rPr>
          <w:rFonts w:ascii="Georgia" w:hAnsi="Georgia" w:cs="Arial"/>
          <w:b/>
          <w:sz w:val="20"/>
          <w:szCs w:val="20"/>
          <w:lang w:val="es-ES"/>
        </w:rPr>
      </w:pPr>
      <w:r w:rsidRPr="005A4A7B">
        <w:rPr>
          <w:rFonts w:ascii="Georgia" w:hAnsi="Georgia" w:cs="Arial"/>
          <w:b/>
          <w:sz w:val="20"/>
          <w:szCs w:val="20"/>
          <w:lang w:val="es-ES"/>
        </w:rPr>
        <w:t>La asistencia por cualquier acontecimiento, pérdida, lesión, daño o responsabilidad legal que se produzca como consecuencia directa o indirecta de un viaje en, a, o a través de cualquiera de los siguientes países: Afganistán, Cuba, República Democrática del Congo, Irán, Iraq, Liberia, Sudán o Siria o cualquier país que ingrese a la lista OFAC.</w:t>
      </w:r>
    </w:p>
    <w:p w14:paraId="49BEC857" w14:textId="77777777" w:rsidR="005A4A7B" w:rsidRPr="005A4A7B" w:rsidRDefault="005A4A7B" w:rsidP="005A4A7B">
      <w:pPr>
        <w:numPr>
          <w:ilvl w:val="0"/>
          <w:numId w:val="2"/>
        </w:numPr>
        <w:spacing w:after="0" w:line="240" w:lineRule="auto"/>
        <w:ind w:left="426" w:right="191" w:hanging="426"/>
        <w:rPr>
          <w:rFonts w:ascii="Georgia" w:hAnsi="Georgia" w:cs="Arial"/>
          <w:b/>
          <w:sz w:val="20"/>
          <w:szCs w:val="20"/>
          <w:lang w:val="es-ES"/>
        </w:rPr>
      </w:pPr>
      <w:r w:rsidRPr="005A4A7B">
        <w:rPr>
          <w:rFonts w:ascii="Georgia" w:hAnsi="Georgia" w:cs="Arial"/>
          <w:b/>
          <w:sz w:val="20"/>
          <w:szCs w:val="20"/>
          <w:lang w:val="es-ES"/>
        </w:rPr>
        <w:t>n) La asistencia por cualquier pérdida, lesión, daño o responsabilidad legal que sufra directa o indirectamente una persona terrorista o miembro de una organización terrorista, traficante de drogas, o proveedor de armas nucleares, químicas o biológicas</w:t>
      </w:r>
    </w:p>
    <w:p w14:paraId="37187CC2" w14:textId="77777777" w:rsidR="005A4A7B" w:rsidRPr="005A4A7B" w:rsidRDefault="005A4A7B" w:rsidP="005A4A7B">
      <w:pPr>
        <w:numPr>
          <w:ilvl w:val="0"/>
          <w:numId w:val="2"/>
        </w:numPr>
        <w:spacing w:after="0" w:line="240" w:lineRule="auto"/>
        <w:ind w:left="426" w:right="191" w:hanging="426"/>
        <w:rPr>
          <w:rFonts w:ascii="Georgia" w:hAnsi="Georgia" w:cs="Arial"/>
          <w:b/>
          <w:sz w:val="20"/>
          <w:szCs w:val="20"/>
          <w:lang w:val="es-ES"/>
        </w:rPr>
      </w:pPr>
      <w:r w:rsidRPr="005A4A7B">
        <w:rPr>
          <w:rFonts w:ascii="Georgia" w:hAnsi="Georgia" w:cs="Arial"/>
          <w:b/>
          <w:sz w:val="20"/>
          <w:szCs w:val="20"/>
          <w:lang w:val="es-ES"/>
        </w:rPr>
        <w:t xml:space="preserve">Peleas o riñas, salvo en aquellos casos en que se establezca judicialmente o a través de indicios razonables (en caso de fallecimiento del ASEGURADO) que se ha tratado de legítima defensa.  </w:t>
      </w:r>
    </w:p>
    <w:p w14:paraId="4176FF6F" w14:textId="77777777" w:rsidR="006A05A1" w:rsidRPr="005A4A7B" w:rsidRDefault="005A4A7B" w:rsidP="005A4A7B">
      <w:pPr>
        <w:numPr>
          <w:ilvl w:val="0"/>
          <w:numId w:val="2"/>
        </w:numPr>
        <w:spacing w:after="0" w:line="240" w:lineRule="auto"/>
        <w:ind w:left="426" w:right="191" w:hanging="426"/>
        <w:rPr>
          <w:rFonts w:ascii="Georgia" w:eastAsia="Arial Unicode MS" w:hAnsi="Georgia" w:cs="Arial"/>
          <w:b/>
          <w:color w:val="000000"/>
          <w:sz w:val="20"/>
          <w:szCs w:val="20"/>
          <w:lang w:val="es-ES"/>
        </w:rPr>
      </w:pPr>
      <w:r w:rsidRPr="005A4A7B">
        <w:rPr>
          <w:rFonts w:ascii="Georgia" w:hAnsi="Georgia" w:cs="Arial"/>
          <w:b/>
          <w:sz w:val="20"/>
          <w:szCs w:val="20"/>
          <w:lang w:val="es-ES"/>
        </w:rPr>
        <w:t>Anomalías congénitas, y los trastornos que sobrevengan por tales anomalías o se relacionen con ellas.</w:t>
      </w:r>
      <w:r w:rsidR="006A05A1" w:rsidRPr="005A4A7B">
        <w:rPr>
          <w:rFonts w:ascii="Georgia" w:eastAsia="Arial Unicode MS" w:hAnsi="Georgia" w:cs="Arial"/>
          <w:b/>
          <w:color w:val="000000"/>
          <w:sz w:val="20"/>
          <w:szCs w:val="20"/>
          <w:lang w:val="es-ES"/>
        </w:rPr>
        <w:t xml:space="preserve"> </w:t>
      </w:r>
    </w:p>
    <w:p w14:paraId="0D3220D1" w14:textId="77777777" w:rsidR="006A05A1" w:rsidRDefault="006A05A1" w:rsidP="0061753C">
      <w:pPr>
        <w:spacing w:after="0" w:line="228" w:lineRule="auto"/>
        <w:ind w:right="191"/>
        <w:rPr>
          <w:rFonts w:ascii="Georgia" w:hAnsi="Georgia" w:cs="Arial"/>
          <w:sz w:val="20"/>
          <w:szCs w:val="20"/>
          <w:lang w:val="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647"/>
      </w:tblGrid>
      <w:tr w:rsidR="0061753C" w:rsidRPr="0061753C" w14:paraId="3F942072" w14:textId="77777777" w:rsidTr="009A785D">
        <w:tc>
          <w:tcPr>
            <w:tcW w:w="8647" w:type="dxa"/>
            <w:shd w:val="clear" w:color="auto" w:fill="01C1D6"/>
          </w:tcPr>
          <w:p w14:paraId="57219D15" w14:textId="77777777" w:rsidR="0061753C" w:rsidRPr="0061753C" w:rsidRDefault="0061753C" w:rsidP="0061753C">
            <w:pPr>
              <w:spacing w:after="0" w:line="228" w:lineRule="auto"/>
              <w:ind w:right="164"/>
              <w:rPr>
                <w:rFonts w:ascii="Georgia" w:hAnsi="Georgia" w:cs="Arial"/>
                <w:b/>
                <w:color w:val="FFFFFF"/>
                <w:sz w:val="20"/>
              </w:rPr>
            </w:pPr>
            <w:r>
              <w:rPr>
                <w:rFonts w:ascii="Georgia" w:hAnsi="Georgia" w:cs="Arial"/>
                <w:b/>
                <w:color w:val="FFFFFF"/>
                <w:sz w:val="20"/>
              </w:rPr>
              <w:t xml:space="preserve">Artículo </w:t>
            </w:r>
            <w:r w:rsidR="005A4A7B">
              <w:rPr>
                <w:rFonts w:ascii="Georgia" w:hAnsi="Georgia" w:cs="Arial"/>
                <w:b/>
                <w:color w:val="FFFFFF"/>
                <w:sz w:val="20"/>
              </w:rPr>
              <w:t>3</w:t>
            </w:r>
            <w:r w:rsidRPr="0061753C">
              <w:rPr>
                <w:rFonts w:ascii="Georgia" w:hAnsi="Georgia" w:cs="Arial"/>
                <w:b/>
                <w:color w:val="FFFFFF"/>
                <w:sz w:val="20"/>
              </w:rPr>
              <w:t xml:space="preserve">°     </w:t>
            </w:r>
            <w:r>
              <w:rPr>
                <w:rFonts w:ascii="Georgia" w:hAnsi="Georgia" w:cs="Arial"/>
                <w:b/>
                <w:color w:val="FFFFFF"/>
                <w:sz w:val="20"/>
              </w:rPr>
              <w:t>Aviso del Siniestro y Procedimiento para Solicitar la Cobertura</w:t>
            </w:r>
          </w:p>
        </w:tc>
      </w:tr>
    </w:tbl>
    <w:p w14:paraId="30AD8BE2" w14:textId="77777777" w:rsidR="0061753C" w:rsidRDefault="0061753C" w:rsidP="0061753C">
      <w:pPr>
        <w:spacing w:after="0"/>
        <w:ind w:right="191"/>
        <w:rPr>
          <w:rFonts w:ascii="Georgia" w:hAnsi="Georgia" w:cs="Arial"/>
          <w:b/>
          <w:sz w:val="20"/>
          <w:szCs w:val="20"/>
        </w:rPr>
      </w:pPr>
    </w:p>
    <w:p w14:paraId="0CDC281C" w14:textId="77777777" w:rsidR="005A4A7B" w:rsidRPr="005A4A7B" w:rsidRDefault="005A4A7B" w:rsidP="005A4A7B">
      <w:pPr>
        <w:spacing w:after="0"/>
        <w:ind w:right="191"/>
        <w:rPr>
          <w:rFonts w:ascii="Georgia" w:hAnsi="Georgia" w:cs="Arial"/>
          <w:b/>
          <w:sz w:val="20"/>
          <w:szCs w:val="20"/>
          <w:lang w:val="es-ES"/>
        </w:rPr>
      </w:pPr>
      <w:r w:rsidRPr="005A4A7B">
        <w:rPr>
          <w:rFonts w:ascii="Georgia" w:hAnsi="Georgia" w:cs="Arial"/>
          <w:b/>
          <w:sz w:val="20"/>
          <w:szCs w:val="20"/>
          <w:lang w:val="es-ES"/>
        </w:rPr>
        <w:t>Posteriormente, para la Solicitud de Cobertura, deberá presentar en las oficinas de la COMPAÑÍA los siguientes documentos certificación de reproducción notarial (antes copia legalizada).</w:t>
      </w:r>
    </w:p>
    <w:p w14:paraId="74FB66D4" w14:textId="77777777" w:rsidR="005A4A7B" w:rsidRPr="005A4A7B" w:rsidRDefault="005A4A7B" w:rsidP="005A4A7B">
      <w:pPr>
        <w:spacing w:after="0"/>
        <w:ind w:right="191"/>
        <w:rPr>
          <w:rFonts w:ascii="Georgia" w:hAnsi="Georgia" w:cs="Arial"/>
          <w:b/>
          <w:sz w:val="20"/>
          <w:szCs w:val="20"/>
          <w:lang w:val="es-ES"/>
        </w:rPr>
      </w:pPr>
    </w:p>
    <w:p w14:paraId="6BA4B6BE" w14:textId="77777777" w:rsidR="005A4A7B" w:rsidRPr="005A4A7B" w:rsidRDefault="005A4A7B" w:rsidP="005A4A7B">
      <w:pPr>
        <w:spacing w:after="0"/>
        <w:ind w:right="191"/>
        <w:rPr>
          <w:rFonts w:ascii="Georgia" w:hAnsi="Georgia" w:cs="Arial"/>
          <w:b/>
          <w:sz w:val="20"/>
          <w:szCs w:val="20"/>
          <w:lang w:val="es-ES"/>
        </w:rPr>
      </w:pPr>
      <w:r w:rsidRPr="005A4A7B">
        <w:rPr>
          <w:rFonts w:ascii="Georgia" w:hAnsi="Georgia" w:cs="Arial"/>
          <w:b/>
          <w:sz w:val="20"/>
          <w:szCs w:val="20"/>
          <w:lang w:val="es-ES"/>
        </w:rPr>
        <w:t>El ASEGURADO podrá presentar los documentos en cualquier momento, sin plazo límite específico, pero antes del plazo de prescripción establecido por la normatividad vigente:</w:t>
      </w:r>
    </w:p>
    <w:p w14:paraId="29038E3C" w14:textId="77777777" w:rsidR="005A4A7B" w:rsidRPr="005A4A7B" w:rsidRDefault="005A4A7B" w:rsidP="005A4A7B">
      <w:pPr>
        <w:spacing w:after="0"/>
        <w:ind w:right="191"/>
        <w:rPr>
          <w:rFonts w:ascii="Georgia" w:hAnsi="Georgia" w:cs="Arial"/>
          <w:b/>
          <w:sz w:val="20"/>
          <w:szCs w:val="20"/>
          <w:lang w:val="es-ES"/>
        </w:rPr>
      </w:pPr>
    </w:p>
    <w:p w14:paraId="08746D57" w14:textId="77777777" w:rsidR="005A4A7B" w:rsidRPr="005A4A7B" w:rsidRDefault="005A4A7B" w:rsidP="005A4A7B">
      <w:pPr>
        <w:pStyle w:val="Prrafodelista"/>
        <w:numPr>
          <w:ilvl w:val="0"/>
          <w:numId w:val="3"/>
        </w:numPr>
        <w:ind w:left="426" w:right="191" w:hanging="426"/>
        <w:rPr>
          <w:rFonts w:ascii="Georgia" w:hAnsi="Georgia" w:cs="Arial"/>
          <w:sz w:val="20"/>
          <w:lang w:val="es-ES"/>
        </w:rPr>
      </w:pPr>
      <w:r w:rsidRPr="005A4A7B">
        <w:rPr>
          <w:rFonts w:ascii="Georgia" w:hAnsi="Georgia" w:cs="Arial"/>
          <w:sz w:val="20"/>
          <w:lang w:val="es-ES"/>
        </w:rPr>
        <w:t>Certificado de defunción del Asegurado o Asegurado Adicional, según corresponda.</w:t>
      </w:r>
    </w:p>
    <w:p w14:paraId="75935867" w14:textId="77777777" w:rsidR="005A4A7B" w:rsidRPr="005A4A7B" w:rsidRDefault="005A4A7B" w:rsidP="005A4A7B">
      <w:pPr>
        <w:pStyle w:val="Prrafodelista"/>
        <w:numPr>
          <w:ilvl w:val="0"/>
          <w:numId w:val="3"/>
        </w:numPr>
        <w:ind w:left="426" w:right="191" w:hanging="426"/>
        <w:rPr>
          <w:rFonts w:ascii="Georgia" w:hAnsi="Georgia" w:cs="Arial"/>
          <w:sz w:val="20"/>
          <w:lang w:val="es-ES"/>
        </w:rPr>
      </w:pPr>
      <w:r w:rsidRPr="005A4A7B">
        <w:rPr>
          <w:rFonts w:ascii="Georgia" w:hAnsi="Georgia" w:cs="Arial"/>
          <w:sz w:val="20"/>
          <w:lang w:val="es-ES"/>
        </w:rPr>
        <w:t>Acta de defunción del Asegurado o Asegurado Adicional, según corresponda.</w:t>
      </w:r>
    </w:p>
    <w:p w14:paraId="30B3514B" w14:textId="77777777" w:rsidR="005A4A7B" w:rsidRPr="005A4A7B" w:rsidRDefault="005A4A7B" w:rsidP="005A4A7B">
      <w:pPr>
        <w:pStyle w:val="Prrafodelista"/>
        <w:numPr>
          <w:ilvl w:val="0"/>
          <w:numId w:val="3"/>
        </w:numPr>
        <w:ind w:left="426" w:right="191" w:hanging="426"/>
        <w:rPr>
          <w:rFonts w:ascii="Georgia" w:hAnsi="Georgia" w:cs="Arial"/>
          <w:sz w:val="20"/>
          <w:lang w:val="es-ES"/>
        </w:rPr>
      </w:pPr>
      <w:r w:rsidRPr="005A4A7B">
        <w:rPr>
          <w:rFonts w:ascii="Georgia" w:hAnsi="Georgia" w:cs="Arial"/>
          <w:sz w:val="20"/>
          <w:lang w:val="es-ES"/>
        </w:rPr>
        <w:t>DNI del Asegurado o Asegurado Adicional, según corresponda, en caso de contar con él.</w:t>
      </w:r>
    </w:p>
    <w:p w14:paraId="6A42770C" w14:textId="77777777" w:rsidR="005A4A7B" w:rsidRPr="005A4A7B" w:rsidRDefault="005A4A7B" w:rsidP="005A4A7B">
      <w:pPr>
        <w:pStyle w:val="Prrafodelista"/>
        <w:numPr>
          <w:ilvl w:val="0"/>
          <w:numId w:val="3"/>
        </w:numPr>
        <w:ind w:left="426" w:right="191" w:hanging="426"/>
        <w:rPr>
          <w:rFonts w:ascii="Georgia" w:hAnsi="Georgia" w:cs="Arial"/>
          <w:sz w:val="20"/>
          <w:lang w:val="es-ES"/>
        </w:rPr>
      </w:pPr>
      <w:r w:rsidRPr="005A4A7B">
        <w:rPr>
          <w:rFonts w:ascii="Georgia" w:hAnsi="Georgia" w:cs="Arial"/>
          <w:sz w:val="20"/>
          <w:lang w:val="es-ES"/>
        </w:rPr>
        <w:t>Original de las facturas y/o boletas que acrediten los gastos por el traslado.</w:t>
      </w:r>
    </w:p>
    <w:p w14:paraId="12DDE82B" w14:textId="77777777" w:rsidR="005A4A7B" w:rsidRPr="005A4A7B" w:rsidRDefault="005A4A7B" w:rsidP="005A4A7B">
      <w:pPr>
        <w:pStyle w:val="Prrafodelista"/>
        <w:numPr>
          <w:ilvl w:val="0"/>
          <w:numId w:val="3"/>
        </w:numPr>
        <w:ind w:left="426" w:right="191" w:hanging="426"/>
        <w:rPr>
          <w:rFonts w:ascii="Georgia" w:hAnsi="Georgia" w:cs="Arial"/>
          <w:sz w:val="20"/>
          <w:lang w:val="es-ES"/>
        </w:rPr>
      </w:pPr>
      <w:r w:rsidRPr="005A4A7B">
        <w:rPr>
          <w:rFonts w:ascii="Georgia" w:hAnsi="Georgia" w:cs="Arial"/>
          <w:sz w:val="20"/>
          <w:lang w:val="es-ES"/>
        </w:rPr>
        <w:t>En caso de muerte accidental: atestado policial completo, dosaje etílico y resultado del examen toxicológico, en caso corresponda.</w:t>
      </w:r>
    </w:p>
    <w:p w14:paraId="6620872B" w14:textId="77777777" w:rsidR="005A4A7B" w:rsidRPr="005A4A7B" w:rsidRDefault="005A4A7B" w:rsidP="005A4A7B">
      <w:pPr>
        <w:pStyle w:val="Prrafodelista"/>
        <w:numPr>
          <w:ilvl w:val="0"/>
          <w:numId w:val="3"/>
        </w:numPr>
        <w:ind w:left="426" w:right="191" w:hanging="426"/>
        <w:rPr>
          <w:rFonts w:ascii="Georgia" w:hAnsi="Georgia" w:cs="Arial"/>
          <w:sz w:val="20"/>
          <w:lang w:val="es-ES"/>
        </w:rPr>
      </w:pPr>
      <w:r w:rsidRPr="005A4A7B">
        <w:rPr>
          <w:rFonts w:ascii="Georgia" w:hAnsi="Georgia" w:cs="Arial"/>
          <w:sz w:val="20"/>
          <w:lang w:val="es-ES"/>
        </w:rPr>
        <w:t xml:space="preserve">Informe médico donde se indique la fecha de diagnóstico de la enfermedad que causó la muerte (causa básica), emitido por los hospitales del Ministerio de </w:t>
      </w:r>
      <w:r w:rsidRPr="005A4A7B">
        <w:rPr>
          <w:rFonts w:ascii="Georgia" w:hAnsi="Georgia" w:cs="Arial"/>
          <w:sz w:val="20"/>
          <w:lang w:val="es-ES"/>
        </w:rPr>
        <w:lastRenderedPageBreak/>
        <w:t>Salud, de Defensa y del Interior y el Seguro Social de Salud (EsSalud), u otra entidad autorizada para emitir este tipo de documento.</w:t>
      </w:r>
    </w:p>
    <w:p w14:paraId="08EE7CC1" w14:textId="77777777" w:rsidR="005A4A7B" w:rsidRPr="005A4A7B" w:rsidRDefault="005A4A7B" w:rsidP="005A4A7B">
      <w:pPr>
        <w:spacing w:after="0"/>
        <w:ind w:right="191"/>
        <w:rPr>
          <w:rFonts w:ascii="Georgia" w:hAnsi="Georgia" w:cs="Arial"/>
          <w:b/>
          <w:sz w:val="20"/>
          <w:szCs w:val="20"/>
          <w:lang w:val="es-ES"/>
        </w:rPr>
      </w:pPr>
    </w:p>
    <w:p w14:paraId="40349C74" w14:textId="77777777" w:rsidR="005A4A7B" w:rsidRPr="005A4A7B" w:rsidRDefault="005A4A7B" w:rsidP="005A4A7B">
      <w:pPr>
        <w:spacing w:after="0"/>
        <w:ind w:right="191"/>
        <w:rPr>
          <w:rFonts w:ascii="Georgia" w:hAnsi="Georgia" w:cs="Arial"/>
          <w:b/>
          <w:sz w:val="20"/>
          <w:szCs w:val="20"/>
          <w:lang w:val="es-ES"/>
        </w:rPr>
      </w:pPr>
      <w:r w:rsidRPr="005A4A7B">
        <w:rPr>
          <w:rFonts w:ascii="Georgia" w:hAnsi="Georgia" w:cs="Arial"/>
          <w:b/>
          <w:sz w:val="20"/>
          <w:szCs w:val="20"/>
          <w:lang w:val="es-ES"/>
        </w:rPr>
        <w:t>En caso de muerte presunta del ASEGURADO, ésta deberá acreditarse conforme a las disposiciones legales vigentes.</w:t>
      </w:r>
    </w:p>
    <w:p w14:paraId="3D62EBA7" w14:textId="77777777" w:rsidR="005A4A7B" w:rsidRPr="005A4A7B" w:rsidRDefault="005A4A7B" w:rsidP="005A4A7B">
      <w:pPr>
        <w:spacing w:after="0"/>
        <w:ind w:right="191"/>
        <w:rPr>
          <w:rFonts w:ascii="Georgia" w:hAnsi="Georgia" w:cs="Arial"/>
          <w:b/>
          <w:sz w:val="20"/>
          <w:szCs w:val="20"/>
          <w:lang w:val="es-ES"/>
        </w:rPr>
      </w:pPr>
    </w:p>
    <w:p w14:paraId="16F73385" w14:textId="77777777" w:rsidR="005A4A7B" w:rsidRPr="005A4A7B" w:rsidRDefault="005A4A7B" w:rsidP="005A4A7B">
      <w:pPr>
        <w:spacing w:after="0"/>
        <w:ind w:right="191"/>
        <w:rPr>
          <w:rFonts w:ascii="Georgia" w:hAnsi="Georgia" w:cs="Arial"/>
          <w:b/>
          <w:sz w:val="20"/>
          <w:szCs w:val="20"/>
          <w:lang w:val="es-ES"/>
        </w:rPr>
      </w:pPr>
      <w:r w:rsidRPr="005A4A7B">
        <w:rPr>
          <w:rFonts w:ascii="Georgia" w:hAnsi="Georgia" w:cs="Arial"/>
          <w:b/>
          <w:sz w:val="20"/>
          <w:szCs w:val="20"/>
          <w:lang w:val="es-ES"/>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5A4A7B">
        <w:rPr>
          <w:rFonts w:ascii="Georgia" w:hAnsi="Georgia" w:cs="Arial"/>
          <w:b/>
          <w:sz w:val="20"/>
          <w:szCs w:val="20"/>
          <w:lang w:val="es-ES"/>
        </w:rPr>
        <w:t>En caso que</w:t>
      </w:r>
      <w:proofErr w:type="gramEnd"/>
      <w:r w:rsidRPr="005A4A7B">
        <w:rPr>
          <w:rFonts w:ascii="Georgia" w:hAnsi="Georgia" w:cs="Arial"/>
          <w:b/>
          <w:sz w:val="20"/>
          <w:szCs w:val="20"/>
          <w:lang w:val="es-ES"/>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5A4A7B">
        <w:rPr>
          <w:rFonts w:ascii="Georgia" w:hAnsi="Georgia" w:cs="Arial"/>
          <w:b/>
          <w:sz w:val="20"/>
          <w:szCs w:val="20"/>
          <w:lang w:val="es-ES"/>
        </w:rPr>
        <w:t>AFP’s</w:t>
      </w:r>
      <w:proofErr w:type="spellEnd"/>
      <w:r w:rsidRPr="005A4A7B">
        <w:rPr>
          <w:rFonts w:ascii="Georgia" w:hAnsi="Georgia" w:cs="Arial"/>
          <w:b/>
          <w:sz w:val="20"/>
          <w:szCs w:val="20"/>
          <w:lang w:val="es-ES"/>
        </w:rPr>
        <w:t>.</w:t>
      </w:r>
    </w:p>
    <w:p w14:paraId="24804498" w14:textId="77777777" w:rsidR="005A4A7B" w:rsidRPr="005A4A7B" w:rsidRDefault="005A4A7B" w:rsidP="005A4A7B">
      <w:pPr>
        <w:spacing w:after="0"/>
        <w:ind w:right="191"/>
        <w:rPr>
          <w:rFonts w:ascii="Georgia" w:hAnsi="Georgia" w:cs="Arial"/>
          <w:b/>
          <w:sz w:val="20"/>
          <w:szCs w:val="20"/>
          <w:lang w:val="es-ES"/>
        </w:rPr>
      </w:pPr>
    </w:p>
    <w:p w14:paraId="67D43570" w14:textId="77777777" w:rsidR="005A4A7B" w:rsidRPr="005A4A7B" w:rsidRDefault="005A4A7B" w:rsidP="005A4A7B">
      <w:pPr>
        <w:spacing w:after="0"/>
        <w:ind w:right="191"/>
        <w:rPr>
          <w:rFonts w:ascii="Georgia" w:hAnsi="Georgia" w:cs="Arial"/>
          <w:b/>
          <w:sz w:val="20"/>
          <w:szCs w:val="20"/>
          <w:lang w:val="es-ES"/>
        </w:rPr>
      </w:pPr>
      <w:proofErr w:type="gramStart"/>
      <w:r w:rsidRPr="005A4A7B">
        <w:rPr>
          <w:rFonts w:ascii="Georgia" w:hAnsi="Georgia" w:cs="Arial"/>
          <w:b/>
          <w:sz w:val="20"/>
          <w:szCs w:val="20"/>
          <w:lang w:val="es-ES"/>
        </w:rPr>
        <w:t>En caso que</w:t>
      </w:r>
      <w:proofErr w:type="gramEnd"/>
      <w:r w:rsidRPr="005A4A7B">
        <w:rPr>
          <w:rFonts w:ascii="Georgia" w:hAnsi="Georgia" w:cs="Arial"/>
          <w:b/>
          <w:sz w:val="20"/>
          <w:szCs w:val="20"/>
          <w:lang w:val="es-ES"/>
        </w:rPr>
        <w:t xml:space="preserv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5312E8B2" w14:textId="77777777" w:rsidR="005A4A7B" w:rsidRPr="005A4A7B" w:rsidRDefault="005A4A7B" w:rsidP="005A4A7B">
      <w:pPr>
        <w:spacing w:after="0"/>
        <w:ind w:right="191"/>
        <w:rPr>
          <w:rFonts w:ascii="Georgia" w:hAnsi="Georgia" w:cs="Arial"/>
          <w:b/>
          <w:sz w:val="20"/>
          <w:szCs w:val="20"/>
          <w:lang w:val="es-ES"/>
        </w:rPr>
      </w:pPr>
    </w:p>
    <w:p w14:paraId="1775DACB" w14:textId="77777777" w:rsidR="005A4A7B" w:rsidRPr="005A4A7B" w:rsidRDefault="005A4A7B" w:rsidP="005A4A7B">
      <w:pPr>
        <w:spacing w:after="0"/>
        <w:ind w:right="191"/>
        <w:rPr>
          <w:rFonts w:ascii="Georgia" w:hAnsi="Georgia" w:cs="Arial"/>
          <w:b/>
          <w:sz w:val="20"/>
          <w:szCs w:val="20"/>
          <w:lang w:val="es-ES"/>
        </w:rPr>
      </w:pPr>
      <w:r w:rsidRPr="005A4A7B">
        <w:rPr>
          <w:rFonts w:ascii="Georgia" w:hAnsi="Georgia" w:cs="Arial"/>
          <w:b/>
          <w:sz w:val="20"/>
          <w:szCs w:val="20"/>
          <w:lang w:val="es-ES"/>
        </w:rPr>
        <w:t>El plazo de veinte (20) días antes indicado se encuentra dentro de los treinta (30) días con el que cuenta La Aseguradora para pronunciarse sobre la aprobación o rechazo de la solicitud de cobertura.</w:t>
      </w:r>
    </w:p>
    <w:p w14:paraId="1F576754" w14:textId="77777777" w:rsidR="005A4A7B" w:rsidRPr="005A4A7B" w:rsidRDefault="005A4A7B" w:rsidP="005A4A7B">
      <w:pPr>
        <w:spacing w:after="0"/>
        <w:ind w:right="191"/>
        <w:rPr>
          <w:rFonts w:ascii="Georgia" w:hAnsi="Georgia" w:cs="Arial"/>
          <w:b/>
          <w:sz w:val="20"/>
          <w:szCs w:val="20"/>
          <w:lang w:val="es-ES"/>
        </w:rPr>
      </w:pPr>
    </w:p>
    <w:p w14:paraId="7723C33A" w14:textId="77777777" w:rsidR="005A4A7B" w:rsidRPr="005A4A7B" w:rsidRDefault="005A4A7B" w:rsidP="005A4A7B">
      <w:pPr>
        <w:spacing w:after="0"/>
        <w:ind w:right="191"/>
        <w:rPr>
          <w:rFonts w:ascii="Georgia" w:hAnsi="Georgia" w:cs="Arial"/>
          <w:b/>
          <w:sz w:val="20"/>
          <w:szCs w:val="20"/>
          <w:lang w:val="es-ES"/>
        </w:rPr>
      </w:pPr>
      <w:r w:rsidRPr="005A4A7B">
        <w:rPr>
          <w:rFonts w:ascii="Georgia" w:hAnsi="Georgia" w:cs="Arial"/>
          <w:b/>
          <w:sz w:val="20"/>
          <w:szCs w:val="20"/>
          <w:lang w:val="es-ES"/>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r>
        <w:rPr>
          <w:rFonts w:ascii="Georgia" w:hAnsi="Georgia" w:cs="Arial"/>
          <w:b/>
          <w:sz w:val="20"/>
          <w:szCs w:val="20"/>
          <w:lang w:val="es-ES"/>
        </w:rPr>
        <w:t xml:space="preserve"> </w:t>
      </w:r>
      <w:r w:rsidRPr="005A4A7B">
        <w:rPr>
          <w:rFonts w:ascii="Georgia" w:hAnsi="Georgia" w:cs="Arial"/>
          <w:b/>
          <w:sz w:val="20"/>
          <w:szCs w:val="20"/>
          <w:lang w:val="es-ES"/>
        </w:rPr>
        <w:t>En casos en los que legalmente deba practicarse una necropsia y/o dosaje etílico, y los mismos no se lleven a cabo por negativa de los familiares o el ASEGURADO, la COMPAÑÍA quedará liberada de pagar la indemnización o beneficio pactado.</w:t>
      </w:r>
    </w:p>
    <w:p w14:paraId="32056D60" w14:textId="77777777" w:rsidR="005A4A7B" w:rsidRPr="005A4A7B" w:rsidRDefault="005A4A7B" w:rsidP="005A4A7B">
      <w:pPr>
        <w:spacing w:after="0"/>
        <w:ind w:right="191"/>
        <w:rPr>
          <w:rFonts w:ascii="Georgia" w:hAnsi="Georgia" w:cs="Arial"/>
          <w:b/>
          <w:sz w:val="20"/>
          <w:szCs w:val="20"/>
          <w:lang w:val="es-ES"/>
        </w:rPr>
      </w:pPr>
    </w:p>
    <w:p w14:paraId="1541C588" w14:textId="77777777" w:rsidR="005A4A7B" w:rsidRPr="005A4A7B" w:rsidRDefault="005A4A7B" w:rsidP="005A4A7B">
      <w:pPr>
        <w:spacing w:after="0"/>
        <w:ind w:right="191"/>
        <w:rPr>
          <w:rFonts w:ascii="Georgia" w:hAnsi="Georgia" w:cs="Arial"/>
          <w:b/>
          <w:sz w:val="20"/>
          <w:szCs w:val="20"/>
          <w:lang w:val="es-ES"/>
        </w:rPr>
      </w:pPr>
      <w:r w:rsidRPr="005A4A7B">
        <w:rPr>
          <w:rFonts w:ascii="Georgia" w:hAnsi="Georgia" w:cs="Arial"/>
          <w:b/>
          <w:sz w:val="20"/>
          <w:szCs w:val="20"/>
          <w:lang w:val="es-ES"/>
        </w:rPr>
        <w:t>En caso el siniestro ocurra fuera del país, los documentos a presentar serán los mismos indicados anteriormente o sus equivalentes en el país donde ocurrió el siniestro.</w:t>
      </w:r>
    </w:p>
    <w:p w14:paraId="1743BB17" w14:textId="77777777" w:rsidR="005A4A7B" w:rsidRPr="005A4A7B" w:rsidRDefault="005A4A7B" w:rsidP="005A4A7B">
      <w:pPr>
        <w:spacing w:after="0"/>
        <w:ind w:right="191"/>
        <w:rPr>
          <w:rFonts w:ascii="Georgia" w:hAnsi="Georgia" w:cs="Arial"/>
          <w:b/>
          <w:sz w:val="20"/>
          <w:szCs w:val="20"/>
          <w:lang w:val="es-ES"/>
        </w:rPr>
      </w:pPr>
    </w:p>
    <w:p w14:paraId="1C6D1C2D" w14:textId="77777777" w:rsidR="006F568D" w:rsidRPr="005A4A7B" w:rsidRDefault="005A4A7B" w:rsidP="005A4A7B">
      <w:pPr>
        <w:spacing w:after="0"/>
        <w:ind w:right="191"/>
        <w:rPr>
          <w:rFonts w:ascii="Georgia" w:hAnsi="Georgia"/>
          <w:b/>
          <w:sz w:val="20"/>
          <w:szCs w:val="20"/>
          <w:lang w:val="es-ES"/>
        </w:rPr>
      </w:pPr>
      <w:r w:rsidRPr="005A4A7B">
        <w:rPr>
          <w:rFonts w:ascii="Georgia" w:hAnsi="Georgia" w:cs="Arial"/>
          <w:b/>
          <w:sz w:val="20"/>
          <w:szCs w:val="20"/>
          <w:lang w:val="es-ES"/>
        </w:rPr>
        <w:t>En casos en los que legalmente deba practicarse una necropsia y/o dosaje etílico, y los mismos no se lleven a cabo por negativa de los familiares o el ASEGURADO, la COMPAÑÍA quedará liberada de pagar la indemnización o beneficio pactado.</w:t>
      </w:r>
    </w:p>
    <w:p w14:paraId="20DEB461" w14:textId="77777777" w:rsidR="002C4BE4" w:rsidRPr="002C4BE4" w:rsidRDefault="002C4BE4" w:rsidP="0061753C">
      <w:pPr>
        <w:spacing w:after="0"/>
        <w:ind w:right="191"/>
        <w:rPr>
          <w:rFonts w:ascii="Georgia" w:hAnsi="Georgia"/>
          <w:sz w:val="20"/>
          <w:szCs w:val="20"/>
          <w:lang w:val="es-ES"/>
        </w:rPr>
      </w:pPr>
    </w:p>
    <w:sectPr w:rsidR="002C4BE4" w:rsidRPr="002C4BE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4A1FF4"/>
    <w:multiLevelType w:val="hybridMultilevel"/>
    <w:tmpl w:val="EEDAD1D4"/>
    <w:lvl w:ilvl="0" w:tplc="413273B2">
      <w:start w:val="1"/>
      <w:numFmt w:val="lowerLetter"/>
      <w:lvlText w:val="%1)"/>
      <w:lvlJc w:val="left"/>
      <w:pPr>
        <w:ind w:left="1071" w:hanging="360"/>
      </w:pPr>
      <w:rPr>
        <w:rFonts w:hint="default"/>
      </w:rPr>
    </w:lvl>
    <w:lvl w:ilvl="1" w:tplc="280A0019" w:tentative="1">
      <w:start w:val="1"/>
      <w:numFmt w:val="lowerLetter"/>
      <w:lvlText w:val="%2."/>
      <w:lvlJc w:val="left"/>
      <w:pPr>
        <w:ind w:left="1791" w:hanging="360"/>
      </w:pPr>
    </w:lvl>
    <w:lvl w:ilvl="2" w:tplc="280A001B" w:tentative="1">
      <w:start w:val="1"/>
      <w:numFmt w:val="lowerRoman"/>
      <w:lvlText w:val="%3."/>
      <w:lvlJc w:val="right"/>
      <w:pPr>
        <w:ind w:left="2511" w:hanging="180"/>
      </w:pPr>
    </w:lvl>
    <w:lvl w:ilvl="3" w:tplc="280A000F" w:tentative="1">
      <w:start w:val="1"/>
      <w:numFmt w:val="decimal"/>
      <w:lvlText w:val="%4."/>
      <w:lvlJc w:val="left"/>
      <w:pPr>
        <w:ind w:left="3231" w:hanging="360"/>
      </w:pPr>
    </w:lvl>
    <w:lvl w:ilvl="4" w:tplc="280A0019" w:tentative="1">
      <w:start w:val="1"/>
      <w:numFmt w:val="lowerLetter"/>
      <w:lvlText w:val="%5."/>
      <w:lvlJc w:val="left"/>
      <w:pPr>
        <w:ind w:left="3951" w:hanging="360"/>
      </w:pPr>
    </w:lvl>
    <w:lvl w:ilvl="5" w:tplc="280A001B" w:tentative="1">
      <w:start w:val="1"/>
      <w:numFmt w:val="lowerRoman"/>
      <w:lvlText w:val="%6."/>
      <w:lvlJc w:val="right"/>
      <w:pPr>
        <w:ind w:left="4671" w:hanging="180"/>
      </w:pPr>
    </w:lvl>
    <w:lvl w:ilvl="6" w:tplc="280A000F" w:tentative="1">
      <w:start w:val="1"/>
      <w:numFmt w:val="decimal"/>
      <w:lvlText w:val="%7."/>
      <w:lvlJc w:val="left"/>
      <w:pPr>
        <w:ind w:left="5391" w:hanging="360"/>
      </w:pPr>
    </w:lvl>
    <w:lvl w:ilvl="7" w:tplc="280A0019" w:tentative="1">
      <w:start w:val="1"/>
      <w:numFmt w:val="lowerLetter"/>
      <w:lvlText w:val="%8."/>
      <w:lvlJc w:val="left"/>
      <w:pPr>
        <w:ind w:left="6111" w:hanging="360"/>
      </w:pPr>
    </w:lvl>
    <w:lvl w:ilvl="8" w:tplc="280A001B" w:tentative="1">
      <w:start w:val="1"/>
      <w:numFmt w:val="lowerRoman"/>
      <w:lvlText w:val="%9."/>
      <w:lvlJc w:val="right"/>
      <w:pPr>
        <w:ind w:left="6831" w:hanging="180"/>
      </w:pPr>
    </w:lvl>
  </w:abstractNum>
  <w:abstractNum w:abstractNumId="1" w15:restartNumberingAfterBreak="0">
    <w:nsid w:val="22B53A97"/>
    <w:multiLevelType w:val="hybridMultilevel"/>
    <w:tmpl w:val="FA0059E8"/>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37EB6E70"/>
    <w:multiLevelType w:val="hybridMultilevel"/>
    <w:tmpl w:val="C550188A"/>
    <w:lvl w:ilvl="0" w:tplc="280A000F">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6E062D2A"/>
    <w:multiLevelType w:val="hybridMultilevel"/>
    <w:tmpl w:val="D822437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979848044">
    <w:abstractNumId w:val="3"/>
  </w:num>
  <w:num w:numId="2" w16cid:durableId="2125225167">
    <w:abstractNumId w:val="0"/>
  </w:num>
  <w:num w:numId="3" w16cid:durableId="1114441175">
    <w:abstractNumId w:val="1"/>
  </w:num>
  <w:num w:numId="4" w16cid:durableId="9633166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A05A1"/>
    <w:rsid w:val="002C4BE4"/>
    <w:rsid w:val="005A4A7B"/>
    <w:rsid w:val="0061753C"/>
    <w:rsid w:val="00682F90"/>
    <w:rsid w:val="006A05A1"/>
    <w:rsid w:val="00CE6F3B"/>
    <w:rsid w:val="00E004DA"/>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904707"/>
  <w15:docId w15:val="{0DC1D99B-2893-4E05-8101-9B075C0E2C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Corpo">
    <w:name w:val="Corpo"/>
    <w:rsid w:val="006A05A1"/>
    <w:pPr>
      <w:snapToGrid w:val="0"/>
    </w:pPr>
    <w:rPr>
      <w:rFonts w:ascii="Arial" w:eastAsia="Times New Roman" w:hAnsi="Arial"/>
      <w:color w:val="000000"/>
      <w:sz w:val="16"/>
      <w:lang w:val="pt-BR" w:eastAsia="es-ES"/>
    </w:rPr>
  </w:style>
  <w:style w:type="paragraph" w:styleId="Prrafodelista">
    <w:name w:val="List Paragraph"/>
    <w:basedOn w:val="Normal"/>
    <w:uiPriority w:val="34"/>
    <w:qFormat/>
    <w:rsid w:val="006A05A1"/>
    <w:pPr>
      <w:spacing w:after="0" w:line="240" w:lineRule="auto"/>
      <w:ind w:left="720"/>
      <w:contextualSpacing/>
      <w:jc w:val="both"/>
    </w:pPr>
    <w:rPr>
      <w:rFonts w:ascii="Arial" w:eastAsia="Times New Roman" w:hAnsi="Arial"/>
      <w:b/>
      <w:sz w:val="24"/>
      <w:szCs w:val="20"/>
      <w:lang w:val="es-ES_tradnl" w:eastAsia="es-ES"/>
    </w:rPr>
  </w:style>
  <w:style w:type="table" w:styleId="Tablaconcuadrcula">
    <w:name w:val="Table Grid"/>
    <w:basedOn w:val="Tablanormal"/>
    <w:uiPriority w:val="59"/>
    <w:rsid w:val="0061753C"/>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3</Pages>
  <Words>1358</Words>
  <Characters>7469</Characters>
  <Application>Microsoft Office Word</Application>
  <DocSecurity>0</DocSecurity>
  <Lines>62</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Riofrio, Pamela O.     Int'l (Peru)</dc:creator>
  <cp:lastModifiedBy>Menendez, Yohana</cp:lastModifiedBy>
  <cp:revision>5</cp:revision>
  <cp:lastPrinted>2023-11-18T02:14:00Z</cp:lastPrinted>
  <dcterms:created xsi:type="dcterms:W3CDTF">2016-11-24T21:54:00Z</dcterms:created>
  <dcterms:modified xsi:type="dcterms:W3CDTF">2023-11-18T02:15:00Z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2023-11-18T02:14:01Z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16eeb239-e04d-42a4-87bb-0259d7ea0453</vt:lpwstr>
  </property>
  <property fmtid="{D5CDD505-2E9C-101B-9397-08002B2CF9AE}" pid="8" name="MSIP_Label_d35fc5bc-c9e2-44ae-bd42-5c3cbdd817bc_ContentBits">
    <vt:lpwstr>0</vt:lpwstr>
  </property>
</Properties>
</file>